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652"/>
        <w:gridCol w:w="1134"/>
        <w:gridCol w:w="709"/>
        <w:gridCol w:w="3559"/>
      </w:tblGrid>
      <w:tr w:rsidR="007D52DD" w:rsidRPr="00080CCB" w:rsidTr="007E7852">
        <w:trPr>
          <w:jc w:val="center"/>
        </w:trPr>
        <w:tc>
          <w:tcPr>
            <w:tcW w:w="9054" w:type="dxa"/>
            <w:gridSpan w:val="4"/>
            <w:shd w:val="clear" w:color="auto" w:fill="2F5496" w:themeFill="accent5" w:themeFillShade="BF"/>
            <w:vAlign w:val="center"/>
          </w:tcPr>
          <w:p w:rsidR="007D52DD" w:rsidRPr="00410A0A" w:rsidRDefault="007D52DD" w:rsidP="00A54F22">
            <w:pPr>
              <w:tabs>
                <w:tab w:val="left" w:pos="6765"/>
              </w:tabs>
              <w:spacing w:before="240" w:after="240"/>
              <w:jc w:val="center"/>
              <w:rPr>
                <w:rFonts w:asciiTheme="minorHAnsi" w:hAnsiTheme="minorHAnsi" w:cs="Arial"/>
                <w:color w:val="FFFFFF" w:themeColor="background1"/>
                <w:szCs w:val="22"/>
              </w:rPr>
            </w:pPr>
            <w:r w:rsidRPr="00410A0A">
              <w:rPr>
                <w:rFonts w:asciiTheme="minorHAnsi" w:eastAsiaTheme="minorHAnsi" w:hAnsiTheme="minorHAnsi" w:cs="Arial"/>
                <w:b/>
                <w:bCs/>
                <w:color w:val="FFFFFF" w:themeColor="background1"/>
                <w:szCs w:val="22"/>
                <w:lang w:val="es-EC"/>
              </w:rPr>
              <w:t>FICHA METODOLÓGICA</w:t>
            </w:r>
          </w:p>
        </w:tc>
      </w:tr>
      <w:tr w:rsidR="001E61E6" w:rsidRPr="00080CCB" w:rsidTr="00546ACE">
        <w:trPr>
          <w:jc w:val="center"/>
        </w:trPr>
        <w:tc>
          <w:tcPr>
            <w:tcW w:w="4786" w:type="dxa"/>
            <w:gridSpan w:val="2"/>
            <w:shd w:val="clear" w:color="auto" w:fill="DBE5F1"/>
            <w:vAlign w:val="center"/>
          </w:tcPr>
          <w:p w:rsidR="007D52DD" w:rsidRPr="00BB0EEC" w:rsidRDefault="00E05929" w:rsidP="009036BF">
            <w:pPr>
              <w:spacing w:before="60" w:after="60"/>
              <w:jc w:val="both"/>
              <w:rPr>
                <w:rFonts w:asciiTheme="minorHAnsi" w:hAnsiTheme="minorHAnsi" w:cs="Arial"/>
                <w:szCs w:val="22"/>
                <w:highlight w:val="cyan"/>
              </w:rPr>
            </w:pPr>
            <w:r w:rsidRPr="000B3A7F">
              <w:rPr>
                <w:rFonts w:asciiTheme="minorHAnsi" w:eastAsiaTheme="minorHAnsi" w:hAnsiTheme="minorHAnsi" w:cs="Arial"/>
                <w:b/>
                <w:bCs/>
                <w:color w:val="000000"/>
                <w:szCs w:val="22"/>
                <w:lang w:val="es-EC"/>
              </w:rPr>
              <w:t>1.</w:t>
            </w:r>
            <w:r w:rsidR="007D52DD" w:rsidRPr="000B3A7F">
              <w:rPr>
                <w:rFonts w:asciiTheme="minorHAnsi" w:eastAsiaTheme="minorHAnsi" w:hAnsiTheme="minorHAnsi" w:cs="Arial"/>
                <w:b/>
                <w:bCs/>
                <w:color w:val="000000"/>
                <w:szCs w:val="22"/>
                <w:lang w:val="es-EC"/>
              </w:rPr>
              <w:t>NOMBRE DEL INDICADOR</w:t>
            </w:r>
          </w:p>
        </w:tc>
        <w:tc>
          <w:tcPr>
            <w:tcW w:w="4268" w:type="dxa"/>
            <w:gridSpan w:val="2"/>
            <w:vAlign w:val="center"/>
          </w:tcPr>
          <w:p w:rsidR="007D52DD" w:rsidRPr="00BB0EEC" w:rsidRDefault="000B3A7F" w:rsidP="009036BF">
            <w:pPr>
              <w:ind w:left="360"/>
              <w:jc w:val="both"/>
              <w:rPr>
                <w:rFonts w:asciiTheme="minorHAnsi" w:hAnsiTheme="minorHAnsi" w:cs="Arial"/>
                <w:b/>
                <w:szCs w:val="22"/>
                <w:highlight w:val="cyan"/>
              </w:rPr>
            </w:pPr>
            <w:r w:rsidRPr="00546ACE">
              <w:rPr>
                <w:rFonts w:ascii="Century Gothic" w:hAnsi="Century Gothic"/>
                <w:b/>
                <w:sz w:val="18"/>
              </w:rPr>
              <w:t>III.1 Cuenta de capital</w:t>
            </w:r>
          </w:p>
        </w:tc>
      </w:tr>
      <w:tr w:rsidR="001C1D16" w:rsidRPr="00080CCB" w:rsidTr="007E7852">
        <w:trPr>
          <w:jc w:val="center"/>
        </w:trPr>
        <w:tc>
          <w:tcPr>
            <w:tcW w:w="9054" w:type="dxa"/>
            <w:gridSpan w:val="4"/>
            <w:shd w:val="clear" w:color="auto" w:fill="DBE5F1"/>
            <w:vAlign w:val="center"/>
          </w:tcPr>
          <w:p w:rsidR="001C1D16"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2</w:t>
            </w:r>
            <w:r w:rsidR="00080CCB" w:rsidRPr="00410A0A">
              <w:rPr>
                <w:rFonts w:asciiTheme="minorHAnsi" w:eastAsiaTheme="minorHAnsi" w:hAnsiTheme="minorHAnsi" w:cs="Arial"/>
                <w:b/>
                <w:bCs/>
                <w:color w:val="000000"/>
                <w:szCs w:val="22"/>
                <w:lang w:val="es-EC"/>
              </w:rPr>
              <w:t xml:space="preserve">. </w:t>
            </w:r>
            <w:r w:rsidR="001C1D16" w:rsidRPr="00410A0A">
              <w:rPr>
                <w:rFonts w:asciiTheme="minorHAnsi" w:eastAsiaTheme="minorHAnsi" w:hAnsiTheme="minorHAnsi" w:cs="Arial"/>
                <w:b/>
                <w:bCs/>
                <w:color w:val="000000"/>
                <w:szCs w:val="22"/>
                <w:lang w:val="es-EC"/>
              </w:rPr>
              <w:t>DEFINICIÓN</w:t>
            </w:r>
          </w:p>
        </w:tc>
      </w:tr>
      <w:tr w:rsidR="001C1D16" w:rsidRPr="00080CCB" w:rsidTr="006E11AE">
        <w:trPr>
          <w:jc w:val="center"/>
        </w:trPr>
        <w:tc>
          <w:tcPr>
            <w:tcW w:w="9054" w:type="dxa"/>
            <w:gridSpan w:val="4"/>
            <w:shd w:val="clear" w:color="auto" w:fill="FFFFFF" w:themeFill="background1"/>
            <w:vAlign w:val="center"/>
          </w:tcPr>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lang w:val="es-EC"/>
              </w:rPr>
              <w:t>La cuenta de capital es la primera de las cuatro cuentas</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dedicadas a las variaciones de valor de los activos que</w:t>
            </w:r>
            <w:r>
              <w:rPr>
                <w:rFonts w:asciiTheme="minorHAnsi" w:eastAsiaTheme="minorHAnsi" w:hAnsiTheme="minorHAnsi" w:cs="Arial"/>
                <w:bCs/>
                <w:color w:val="000000"/>
                <w:szCs w:val="22"/>
                <w:lang w:val="es-EC"/>
              </w:rPr>
              <w:t xml:space="preserve"> </w:t>
            </w:r>
            <w:r w:rsidRPr="006E11AE">
              <w:rPr>
                <w:rFonts w:asciiTheme="minorHAnsi" w:eastAsiaTheme="minorHAnsi" w:hAnsiTheme="minorHAnsi" w:cs="Arial"/>
                <w:bCs/>
                <w:color w:val="000000"/>
                <w:szCs w:val="22"/>
                <w:lang w:val="es-EC"/>
              </w:rPr>
              <w:t xml:space="preserve">poseen las unidades institucionales. </w:t>
            </w:r>
            <w:r w:rsidRPr="006E11AE">
              <w:rPr>
                <w:rFonts w:asciiTheme="minorHAnsi" w:eastAsiaTheme="minorHAnsi" w:hAnsiTheme="minorHAnsi" w:cs="Arial"/>
                <w:bCs/>
                <w:color w:val="000000"/>
                <w:szCs w:val="22"/>
                <w:shd w:val="clear" w:color="auto" w:fill="FFFFFF" w:themeFill="background1"/>
                <w:lang w:val="es-EC"/>
              </w:rPr>
              <w:t xml:space="preserve">Registra las transacciones de activos no financieros. </w:t>
            </w:r>
          </w:p>
          <w:p w:rsidR="006E11AE" w:rsidRDefault="006E11AE" w:rsidP="006E11AE">
            <w:pPr>
              <w:spacing w:before="120" w:after="120"/>
              <w:jc w:val="both"/>
              <w:rPr>
                <w:rFonts w:asciiTheme="minorHAnsi" w:eastAsiaTheme="minorHAnsi" w:hAnsiTheme="minorHAnsi" w:cs="Arial"/>
                <w:bCs/>
                <w:color w:val="000000"/>
                <w:szCs w:val="22"/>
                <w:shd w:val="clear" w:color="auto" w:fill="FFFFFF" w:themeFill="background1"/>
                <w:lang w:val="es-EC"/>
              </w:rPr>
            </w:pPr>
            <w:r w:rsidRPr="006E11AE">
              <w:rPr>
                <w:rFonts w:asciiTheme="minorHAnsi" w:eastAsiaTheme="minorHAnsi" w:hAnsiTheme="minorHAnsi" w:cs="Arial"/>
                <w:bCs/>
                <w:color w:val="000000"/>
                <w:szCs w:val="22"/>
                <w:shd w:val="clear" w:color="auto" w:fill="FFFFFF" w:themeFill="background1"/>
                <w:lang w:val="es-EC"/>
              </w:rPr>
              <w:t xml:space="preserve">La cuenta financiera registra las transacciones de los activos financieros y pasivos. Las cuentas de otras variaciones en el volumen de activos registran las variaciones tanto en el valor de activos no financieros como de los financieros que no son resultado ni de transacciones ni de variaciones de precios. </w:t>
            </w:r>
          </w:p>
          <w:p w:rsidR="001C1D16" w:rsidRPr="00410A0A" w:rsidRDefault="006E11AE" w:rsidP="006E11AE">
            <w:pPr>
              <w:spacing w:before="120" w:after="120"/>
              <w:jc w:val="both"/>
              <w:rPr>
                <w:rFonts w:asciiTheme="minorHAnsi" w:eastAsiaTheme="minorHAnsi" w:hAnsiTheme="minorHAnsi" w:cs="Arial"/>
                <w:b/>
                <w:bCs/>
                <w:color w:val="000000"/>
                <w:szCs w:val="22"/>
                <w:lang w:val="es-EC"/>
              </w:rPr>
            </w:pPr>
            <w:r w:rsidRPr="006E11AE">
              <w:rPr>
                <w:rFonts w:asciiTheme="minorHAnsi" w:eastAsiaTheme="minorHAnsi" w:hAnsiTheme="minorHAnsi" w:cs="Arial"/>
                <w:bCs/>
                <w:color w:val="000000"/>
                <w:szCs w:val="22"/>
                <w:shd w:val="clear" w:color="auto" w:fill="FFFFFF" w:themeFill="background1"/>
                <w:lang w:val="es-EC"/>
              </w:rPr>
              <w:t>Los efectos de las variaciones de precios se registran en la cuenta de revalorización. Estas cuatro cuentas permiten descomponer la variación del valor neto de una unidad o sector institucional, entre el comienzo y final del período contable, en sus elementos constitutivos, registrando todos los cambios de precios y de volumen de los activos, sean o no el resultado de transacciones</w:t>
            </w:r>
            <w:r w:rsidR="00A74FDC">
              <w:rPr>
                <w:rFonts w:asciiTheme="minorHAnsi" w:eastAsiaTheme="minorHAnsi" w:hAnsiTheme="minorHAnsi" w:cs="Arial"/>
                <w:bCs/>
                <w:color w:val="000000"/>
                <w:szCs w:val="22"/>
                <w:shd w:val="clear" w:color="auto" w:fill="FFFFFF" w:themeFill="background1"/>
                <w:lang w:val="es-EC"/>
              </w:rPr>
              <w:t>.</w:t>
            </w:r>
            <w:r w:rsidR="004D6B36">
              <w:rPr>
                <w:rFonts w:asciiTheme="minorHAnsi" w:eastAsiaTheme="minorHAnsi" w:hAnsiTheme="minorHAnsi" w:cs="Arial"/>
                <w:bCs/>
                <w:color w:val="000000"/>
                <w:szCs w:val="22"/>
                <w:shd w:val="clear" w:color="auto" w:fill="FFFFFF" w:themeFill="background1"/>
                <w:lang w:val="es-EC"/>
              </w:rPr>
              <w:t xml:space="preserve"> (SCN 2008, 10)</w:t>
            </w:r>
            <w:r w:rsidRPr="006E11AE">
              <w:rPr>
                <w:rFonts w:asciiTheme="minorHAnsi" w:eastAsiaTheme="minorHAnsi" w:hAnsiTheme="minorHAnsi" w:cs="Arial"/>
                <w:b/>
                <w:bCs/>
                <w:color w:val="000000"/>
                <w:szCs w:val="22"/>
                <w:lang w:val="es-EC"/>
              </w:rPr>
              <w:t xml:space="preserve"> </w:t>
            </w:r>
          </w:p>
        </w:tc>
      </w:tr>
      <w:tr w:rsidR="009C0A42" w:rsidRPr="00080CCB" w:rsidTr="007E7852">
        <w:trPr>
          <w:jc w:val="center"/>
        </w:trPr>
        <w:tc>
          <w:tcPr>
            <w:tcW w:w="9054" w:type="dxa"/>
            <w:gridSpan w:val="4"/>
            <w:shd w:val="clear" w:color="auto" w:fill="DBE5F1"/>
            <w:vAlign w:val="center"/>
          </w:tcPr>
          <w:p w:rsidR="009C0A42" w:rsidRPr="00410A0A" w:rsidRDefault="00E05929" w:rsidP="00546ACE">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3</w:t>
            </w:r>
            <w:r w:rsidR="00080CCB" w:rsidRPr="00410A0A">
              <w:rPr>
                <w:rFonts w:asciiTheme="minorHAnsi" w:eastAsiaTheme="minorHAnsi" w:hAnsiTheme="minorHAnsi" w:cs="Arial"/>
                <w:b/>
                <w:bCs/>
                <w:color w:val="000000"/>
                <w:szCs w:val="22"/>
                <w:lang w:val="es-EC"/>
              </w:rPr>
              <w:t xml:space="preserve">. </w:t>
            </w:r>
            <w:r w:rsidR="009C0A42" w:rsidRPr="00410A0A">
              <w:rPr>
                <w:rFonts w:asciiTheme="minorHAnsi" w:eastAsiaTheme="minorHAnsi" w:hAnsiTheme="minorHAnsi" w:cs="Arial"/>
                <w:b/>
                <w:bCs/>
                <w:color w:val="000000"/>
                <w:szCs w:val="22"/>
                <w:lang w:val="es-EC"/>
              </w:rPr>
              <w:t>ESTRUCTURA DE LA CUENTA</w:t>
            </w:r>
          </w:p>
        </w:tc>
      </w:tr>
      <w:tr w:rsidR="009C0A42" w:rsidRPr="00080CCB" w:rsidTr="007E7852">
        <w:trPr>
          <w:jc w:val="center"/>
        </w:trPr>
        <w:tc>
          <w:tcPr>
            <w:tcW w:w="9054" w:type="dxa"/>
            <w:gridSpan w:val="4"/>
            <w:shd w:val="clear" w:color="auto" w:fill="auto"/>
            <w:vAlign w:val="center"/>
          </w:tcPr>
          <w:tbl>
            <w:tblPr>
              <w:tblW w:w="8838" w:type="dxa"/>
              <w:tblCellMar>
                <w:left w:w="70" w:type="dxa"/>
                <w:right w:w="70" w:type="dxa"/>
              </w:tblCellMar>
              <w:tblLook w:val="04A0" w:firstRow="1" w:lastRow="0" w:firstColumn="1" w:lastColumn="0" w:noHBand="0" w:noVBand="1"/>
            </w:tblPr>
            <w:tblGrid>
              <w:gridCol w:w="566"/>
              <w:gridCol w:w="2864"/>
              <w:gridCol w:w="973"/>
              <w:gridCol w:w="559"/>
              <w:gridCol w:w="2903"/>
              <w:gridCol w:w="973"/>
            </w:tblGrid>
            <w:tr w:rsidR="000B3A7F" w:rsidRPr="000B3A7F" w:rsidTr="006C2A67">
              <w:trPr>
                <w:trHeight w:val="300"/>
              </w:trPr>
              <w:tc>
                <w:tcPr>
                  <w:tcW w:w="566" w:type="dxa"/>
                  <w:tcBorders>
                    <w:top w:val="single" w:sz="4" w:space="0" w:color="auto"/>
                    <w:left w:val="nil"/>
                    <w:bottom w:val="single" w:sz="4" w:space="0" w:color="auto"/>
                    <w:right w:val="nil"/>
                  </w:tcBorders>
                  <w:shd w:val="clear" w:color="auto" w:fill="auto"/>
                  <w:noWrap/>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864" w:type="dxa"/>
                  <w:tcBorders>
                    <w:top w:val="single" w:sz="4" w:space="0" w:color="auto"/>
                    <w:left w:val="nil"/>
                    <w:bottom w:val="single" w:sz="4" w:space="0" w:color="auto"/>
                    <w:right w:val="nil"/>
                  </w:tcBorders>
                  <w:shd w:val="clear" w:color="auto" w:fill="auto"/>
                  <w:noWrap/>
                  <w:vAlign w:val="center"/>
                  <w:hideMark/>
                </w:tcPr>
                <w:p w:rsidR="000B3A7F" w:rsidRPr="000B3A7F" w:rsidRDefault="006C2A67"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Variación de activos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c>
                <w:tcPr>
                  <w:tcW w:w="559"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 </w:t>
                  </w:r>
                </w:p>
              </w:tc>
              <w:tc>
                <w:tcPr>
                  <w:tcW w:w="2903" w:type="dxa"/>
                  <w:tcBorders>
                    <w:top w:val="single" w:sz="4" w:space="0" w:color="auto"/>
                    <w:left w:val="nil"/>
                    <w:bottom w:val="single" w:sz="4" w:space="0" w:color="auto"/>
                    <w:right w:val="nil"/>
                  </w:tcBorders>
                  <w:shd w:val="clear" w:color="auto" w:fill="auto"/>
                  <w:noWrap/>
                  <w:vAlign w:val="center"/>
                  <w:hideMark/>
                </w:tcPr>
                <w:p w:rsidR="000B3A7F" w:rsidRPr="000B3A7F" w:rsidRDefault="006C2A67"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Variación de pasivos</w:t>
                  </w:r>
                </w:p>
              </w:tc>
              <w:tc>
                <w:tcPr>
                  <w:tcW w:w="973" w:type="dxa"/>
                  <w:tcBorders>
                    <w:top w:val="single" w:sz="4" w:space="0" w:color="auto"/>
                    <w:left w:val="nil"/>
                    <w:bottom w:val="single" w:sz="4" w:space="0" w:color="auto"/>
                    <w:right w:val="nil"/>
                  </w:tcBorders>
                  <w:shd w:val="clear" w:color="auto" w:fill="auto"/>
                  <w:noWrap/>
                  <w:vAlign w:val="center"/>
                  <w:hideMark/>
                </w:tcPr>
                <w:p w:rsidR="000B3A7F" w:rsidRPr="000B3A7F" w:rsidRDefault="000B3A7F" w:rsidP="000B3A7F">
                  <w:pPr>
                    <w:jc w:val="center"/>
                    <w:rPr>
                      <w:rFonts w:ascii="Calibri" w:hAnsi="Calibri" w:cs="Calibri"/>
                      <w:sz w:val="18"/>
                      <w:szCs w:val="18"/>
                      <w:lang w:val="es-EC" w:eastAsia="es-EC"/>
                    </w:rPr>
                  </w:pPr>
                  <w:r w:rsidRPr="000B3A7F">
                    <w:rPr>
                      <w:rFonts w:ascii="Calibri" w:hAnsi="Calibri" w:cs="Calibri"/>
                      <w:sz w:val="18"/>
                      <w:szCs w:val="18"/>
                      <w:lang w:val="es-EC" w:eastAsia="es-EC"/>
                    </w:rPr>
                    <w:t>Total</w:t>
                  </w:r>
                </w:p>
              </w:tc>
            </w:tr>
            <w:tr w:rsidR="00B77539" w:rsidRPr="000B3A7F" w:rsidTr="006C2A67">
              <w:trPr>
                <w:trHeight w:val="300"/>
              </w:trPr>
              <w:tc>
                <w:tcPr>
                  <w:tcW w:w="566"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P.51b </w:t>
                  </w:r>
                </w:p>
              </w:tc>
              <w:tc>
                <w:tcPr>
                  <w:tcW w:w="2864"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Formación bruta de capital fijo</w:t>
                  </w:r>
                </w:p>
              </w:tc>
              <w:tc>
                <w:tcPr>
                  <w:tcW w:w="973" w:type="dxa"/>
                  <w:tcBorders>
                    <w:top w:val="nil"/>
                    <w:left w:val="nil"/>
                    <w:bottom w:val="nil"/>
                    <w:right w:val="single" w:sz="4" w:space="0" w:color="auto"/>
                  </w:tcBorders>
                  <w:shd w:val="clear" w:color="auto" w:fill="auto"/>
                  <w:noWrap/>
                  <w:hideMark/>
                </w:tcPr>
                <w:p w:rsidR="00B77539" w:rsidRPr="00B77539" w:rsidRDefault="00B77539">
                  <w:pPr>
                    <w:jc w:val="right"/>
                    <w:rPr>
                      <w:rFonts w:ascii="Calibri" w:hAnsi="Calibri" w:cs="Calibri"/>
                      <w:color w:val="000000"/>
                      <w:sz w:val="18"/>
                      <w:szCs w:val="18"/>
                    </w:rPr>
                  </w:pPr>
                  <w:r w:rsidRPr="00B77539">
                    <w:rPr>
                      <w:rFonts w:ascii="Calibri" w:hAnsi="Calibri" w:cs="Calibri"/>
                      <w:color w:val="000000"/>
                      <w:sz w:val="18"/>
                      <w:szCs w:val="18"/>
                    </w:rPr>
                    <w:t>15.666</w:t>
                  </w:r>
                </w:p>
              </w:tc>
              <w:tc>
                <w:tcPr>
                  <w:tcW w:w="559"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B.8n</w:t>
                  </w:r>
                </w:p>
              </w:tc>
              <w:tc>
                <w:tcPr>
                  <w:tcW w:w="290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Ahorro neto</w:t>
                  </w:r>
                </w:p>
              </w:tc>
              <w:tc>
                <w:tcPr>
                  <w:tcW w:w="973" w:type="dxa"/>
                  <w:tcBorders>
                    <w:top w:val="nil"/>
                    <w:left w:val="nil"/>
                    <w:bottom w:val="nil"/>
                    <w:right w:val="nil"/>
                  </w:tcBorders>
                  <w:shd w:val="clear" w:color="auto" w:fill="auto"/>
                  <w:noWrap/>
                  <w:hideMark/>
                </w:tcPr>
                <w:p w:rsidR="00B77539" w:rsidRPr="00546ACE" w:rsidRDefault="00B77539">
                  <w:pPr>
                    <w:jc w:val="right"/>
                    <w:rPr>
                      <w:rFonts w:ascii="Calibri" w:hAnsi="Calibri"/>
                      <w:color w:val="000000"/>
                      <w:sz w:val="18"/>
                      <w:szCs w:val="22"/>
                    </w:rPr>
                  </w:pPr>
                  <w:r>
                    <w:rPr>
                      <w:rFonts w:ascii="Calibri" w:hAnsi="Calibri"/>
                      <w:color w:val="000000"/>
                      <w:sz w:val="18"/>
                      <w:szCs w:val="22"/>
                    </w:rPr>
                    <w:t>294.162</w:t>
                  </w:r>
                </w:p>
              </w:tc>
            </w:tr>
            <w:tr w:rsidR="00B77539" w:rsidRPr="000B3A7F" w:rsidTr="006C2A67">
              <w:trPr>
                <w:trHeight w:val="300"/>
              </w:trPr>
              <w:tc>
                <w:tcPr>
                  <w:tcW w:w="566"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P.51c </w:t>
                  </w:r>
                </w:p>
              </w:tc>
              <w:tc>
                <w:tcPr>
                  <w:tcW w:w="2864"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Consumo de capital fijo (-)</w:t>
                  </w:r>
                </w:p>
              </w:tc>
              <w:tc>
                <w:tcPr>
                  <w:tcW w:w="973" w:type="dxa"/>
                  <w:tcBorders>
                    <w:top w:val="nil"/>
                    <w:left w:val="nil"/>
                    <w:bottom w:val="nil"/>
                    <w:right w:val="single" w:sz="4" w:space="0" w:color="auto"/>
                  </w:tcBorders>
                  <w:shd w:val="clear" w:color="auto" w:fill="auto"/>
                  <w:noWrap/>
                  <w:hideMark/>
                </w:tcPr>
                <w:p w:rsidR="00B77539" w:rsidRPr="00B77539" w:rsidRDefault="00B77539">
                  <w:pPr>
                    <w:jc w:val="right"/>
                    <w:rPr>
                      <w:rFonts w:ascii="Calibri" w:hAnsi="Calibri" w:cs="Calibri"/>
                      <w:color w:val="000000"/>
                      <w:sz w:val="18"/>
                      <w:szCs w:val="18"/>
                    </w:rPr>
                  </w:pPr>
                  <w:r w:rsidRPr="00B77539">
                    <w:rPr>
                      <w:rFonts w:ascii="Calibri" w:hAnsi="Calibri" w:cs="Calibri"/>
                      <w:color w:val="000000"/>
                      <w:sz w:val="18"/>
                      <w:szCs w:val="18"/>
                    </w:rPr>
                    <w:t>11.490</w:t>
                  </w:r>
                </w:p>
              </w:tc>
              <w:tc>
                <w:tcPr>
                  <w:tcW w:w="559"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 xml:space="preserve">D.9r </w:t>
                  </w:r>
                </w:p>
              </w:tc>
              <w:tc>
                <w:tcPr>
                  <w:tcW w:w="290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Transferencias de capital recibidas</w:t>
                  </w:r>
                </w:p>
              </w:tc>
              <w:tc>
                <w:tcPr>
                  <w:tcW w:w="973" w:type="dxa"/>
                  <w:tcBorders>
                    <w:top w:val="nil"/>
                    <w:left w:val="nil"/>
                    <w:bottom w:val="nil"/>
                    <w:right w:val="nil"/>
                  </w:tcBorders>
                  <w:shd w:val="clear" w:color="auto" w:fill="auto"/>
                  <w:noWrap/>
                </w:tcPr>
                <w:p w:rsidR="00B77539" w:rsidRPr="00546ACE" w:rsidRDefault="00B77539">
                  <w:pPr>
                    <w:jc w:val="right"/>
                    <w:rPr>
                      <w:rFonts w:ascii="Calibri" w:hAnsi="Calibri"/>
                      <w:color w:val="000000"/>
                      <w:sz w:val="18"/>
                      <w:szCs w:val="22"/>
                    </w:rPr>
                  </w:pPr>
                </w:p>
              </w:tc>
            </w:tr>
            <w:tr w:rsidR="00B77539" w:rsidRPr="000B3A7F" w:rsidTr="006C2A67">
              <w:trPr>
                <w:trHeight w:val="300"/>
              </w:trPr>
              <w:tc>
                <w:tcPr>
                  <w:tcW w:w="566"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P.52</w:t>
                  </w:r>
                </w:p>
              </w:tc>
              <w:tc>
                <w:tcPr>
                  <w:tcW w:w="2864"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Variaciones de existencias</w:t>
                  </w:r>
                </w:p>
              </w:tc>
              <w:tc>
                <w:tcPr>
                  <w:tcW w:w="973" w:type="dxa"/>
                  <w:tcBorders>
                    <w:top w:val="nil"/>
                    <w:left w:val="nil"/>
                    <w:bottom w:val="nil"/>
                    <w:right w:val="single" w:sz="4" w:space="0" w:color="auto"/>
                  </w:tcBorders>
                  <w:shd w:val="clear" w:color="auto" w:fill="auto"/>
                  <w:noWrap/>
                  <w:hideMark/>
                </w:tcPr>
                <w:p w:rsidR="00B77539" w:rsidRPr="00B77539" w:rsidRDefault="00B77539">
                  <w:pPr>
                    <w:rPr>
                      <w:rFonts w:ascii="Calibri" w:hAnsi="Calibri" w:cs="Calibri"/>
                      <w:color w:val="000000"/>
                      <w:sz w:val="18"/>
                      <w:szCs w:val="18"/>
                    </w:rPr>
                  </w:pPr>
                  <w:r w:rsidRPr="00B77539">
                    <w:rPr>
                      <w:rFonts w:ascii="Calibri" w:hAnsi="Calibri" w:cs="Calibri"/>
                      <w:color w:val="000000"/>
                      <w:sz w:val="18"/>
                      <w:szCs w:val="18"/>
                    </w:rPr>
                    <w:t> </w:t>
                  </w:r>
                </w:p>
              </w:tc>
              <w:tc>
                <w:tcPr>
                  <w:tcW w:w="559"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 xml:space="preserve">D.9p </w:t>
                  </w:r>
                </w:p>
              </w:tc>
              <w:tc>
                <w:tcPr>
                  <w:tcW w:w="290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Transferencias de capital pagadas (-)</w:t>
                  </w:r>
                </w:p>
              </w:tc>
              <w:tc>
                <w:tcPr>
                  <w:tcW w:w="973" w:type="dxa"/>
                  <w:tcBorders>
                    <w:top w:val="nil"/>
                    <w:left w:val="nil"/>
                    <w:bottom w:val="nil"/>
                    <w:right w:val="nil"/>
                  </w:tcBorders>
                  <w:shd w:val="clear" w:color="auto" w:fill="auto"/>
                  <w:noWrap/>
                </w:tcPr>
                <w:p w:rsidR="00B77539" w:rsidRPr="00546ACE" w:rsidRDefault="00B77539">
                  <w:pPr>
                    <w:jc w:val="right"/>
                    <w:rPr>
                      <w:rFonts w:ascii="Calibri" w:hAnsi="Calibri"/>
                      <w:color w:val="000000"/>
                      <w:sz w:val="18"/>
                      <w:szCs w:val="22"/>
                    </w:rPr>
                  </w:pPr>
                </w:p>
              </w:tc>
            </w:tr>
            <w:tr w:rsidR="00B77539" w:rsidRPr="000B3A7F" w:rsidTr="006C2A67">
              <w:trPr>
                <w:trHeight w:val="300"/>
              </w:trPr>
              <w:tc>
                <w:tcPr>
                  <w:tcW w:w="566"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P.53 </w:t>
                  </w:r>
                </w:p>
              </w:tc>
              <w:tc>
                <w:tcPr>
                  <w:tcW w:w="2864"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Adquisiciones menos disposiciones de objetos valiosos</w:t>
                  </w:r>
                </w:p>
              </w:tc>
              <w:tc>
                <w:tcPr>
                  <w:tcW w:w="973" w:type="dxa"/>
                  <w:tcBorders>
                    <w:top w:val="nil"/>
                    <w:left w:val="nil"/>
                    <w:bottom w:val="nil"/>
                    <w:right w:val="single" w:sz="4" w:space="0" w:color="auto"/>
                  </w:tcBorders>
                  <w:shd w:val="clear" w:color="auto" w:fill="auto"/>
                  <w:noWrap/>
                  <w:hideMark/>
                </w:tcPr>
                <w:p w:rsidR="00B77539" w:rsidRPr="00B77539" w:rsidRDefault="00B77539">
                  <w:pPr>
                    <w:rPr>
                      <w:rFonts w:ascii="Calibri" w:hAnsi="Calibri" w:cs="Calibri"/>
                      <w:color w:val="000000"/>
                      <w:sz w:val="18"/>
                      <w:szCs w:val="18"/>
                    </w:rPr>
                  </w:pPr>
                  <w:r w:rsidRPr="00B77539">
                    <w:rPr>
                      <w:rFonts w:ascii="Calibri" w:hAnsi="Calibri" w:cs="Calibri"/>
                      <w:color w:val="000000"/>
                      <w:sz w:val="18"/>
                      <w:szCs w:val="18"/>
                    </w:rPr>
                    <w:t> </w:t>
                  </w:r>
                </w:p>
              </w:tc>
              <w:tc>
                <w:tcPr>
                  <w:tcW w:w="559"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p>
              </w:tc>
            </w:tr>
            <w:tr w:rsidR="00B77539" w:rsidRPr="000B3A7F" w:rsidTr="006C2A67">
              <w:trPr>
                <w:trHeight w:val="600"/>
              </w:trPr>
              <w:tc>
                <w:tcPr>
                  <w:tcW w:w="566"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NP</w:t>
                  </w:r>
                </w:p>
              </w:tc>
              <w:tc>
                <w:tcPr>
                  <w:tcW w:w="2864" w:type="dxa"/>
                  <w:tcBorders>
                    <w:top w:val="nil"/>
                    <w:left w:val="nil"/>
                    <w:bottom w:val="nil"/>
                    <w:right w:val="nil"/>
                  </w:tcBorders>
                  <w:shd w:val="clear" w:color="auto" w:fill="auto"/>
                  <w:hideMark/>
                </w:tcPr>
                <w:p w:rsidR="00B77539" w:rsidRPr="000B3A7F" w:rsidRDefault="00B77539" w:rsidP="000B3A7F">
                  <w:pPr>
                    <w:rPr>
                      <w:rFonts w:ascii="Calibri" w:hAnsi="Calibri" w:cs="Calibri"/>
                      <w:sz w:val="18"/>
                      <w:szCs w:val="18"/>
                      <w:lang w:val="es-EC" w:eastAsia="es-EC"/>
                    </w:rPr>
                  </w:pPr>
                  <w:r w:rsidRPr="000B3A7F">
                    <w:rPr>
                      <w:rFonts w:ascii="Calibri" w:hAnsi="Calibri" w:cs="Calibri"/>
                      <w:sz w:val="18"/>
                      <w:szCs w:val="18"/>
                      <w:lang w:val="es-EC" w:eastAsia="es-EC"/>
                    </w:rPr>
                    <w:t>Adquisición menos disposiciones de activos no financieros no producidos</w:t>
                  </w:r>
                </w:p>
              </w:tc>
              <w:tc>
                <w:tcPr>
                  <w:tcW w:w="973" w:type="dxa"/>
                  <w:tcBorders>
                    <w:top w:val="nil"/>
                    <w:left w:val="nil"/>
                    <w:bottom w:val="nil"/>
                    <w:right w:val="single" w:sz="4" w:space="0" w:color="auto"/>
                  </w:tcBorders>
                  <w:shd w:val="clear" w:color="auto" w:fill="auto"/>
                  <w:noWrap/>
                  <w:hideMark/>
                </w:tcPr>
                <w:p w:rsidR="00B77539" w:rsidRPr="00B77539" w:rsidRDefault="00B77539">
                  <w:pPr>
                    <w:rPr>
                      <w:rFonts w:ascii="Calibri" w:hAnsi="Calibri" w:cs="Calibri"/>
                      <w:color w:val="000000"/>
                      <w:sz w:val="18"/>
                      <w:szCs w:val="18"/>
                    </w:rPr>
                  </w:pPr>
                  <w:r w:rsidRPr="00B77539">
                    <w:rPr>
                      <w:rFonts w:ascii="Calibri" w:hAnsi="Calibri" w:cs="Calibri"/>
                      <w:color w:val="000000"/>
                      <w:sz w:val="18"/>
                      <w:szCs w:val="18"/>
                    </w:rPr>
                    <w:t> </w:t>
                  </w:r>
                </w:p>
              </w:tc>
              <w:tc>
                <w:tcPr>
                  <w:tcW w:w="559"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p>
              </w:tc>
              <w:tc>
                <w:tcPr>
                  <w:tcW w:w="290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p>
              </w:tc>
              <w:tc>
                <w:tcPr>
                  <w:tcW w:w="97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sz w:val="18"/>
                      <w:szCs w:val="18"/>
                      <w:lang w:val="es-EC" w:eastAsia="es-EC"/>
                    </w:rPr>
                  </w:pPr>
                </w:p>
              </w:tc>
            </w:tr>
            <w:tr w:rsidR="00B77539" w:rsidRPr="000B3A7F" w:rsidTr="006C2A67">
              <w:trPr>
                <w:trHeight w:val="300"/>
              </w:trPr>
              <w:tc>
                <w:tcPr>
                  <w:tcW w:w="566"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 xml:space="preserve">B.9 </w:t>
                  </w:r>
                </w:p>
              </w:tc>
              <w:tc>
                <w:tcPr>
                  <w:tcW w:w="2864"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b/>
                      <w:bCs/>
                      <w:sz w:val="18"/>
                      <w:szCs w:val="18"/>
                      <w:lang w:val="es-EC" w:eastAsia="es-EC"/>
                    </w:rPr>
                  </w:pPr>
                  <w:r w:rsidRPr="000B3A7F">
                    <w:rPr>
                      <w:rFonts w:ascii="Calibri" w:hAnsi="Calibri" w:cs="Calibri"/>
                      <w:b/>
                      <w:bCs/>
                      <w:sz w:val="18"/>
                      <w:szCs w:val="18"/>
                      <w:lang w:val="es-EC" w:eastAsia="es-EC"/>
                    </w:rPr>
                    <w:t>Préstamo neto / endeudamiento neto</w:t>
                  </w:r>
                </w:p>
              </w:tc>
              <w:tc>
                <w:tcPr>
                  <w:tcW w:w="973" w:type="dxa"/>
                  <w:tcBorders>
                    <w:top w:val="nil"/>
                    <w:left w:val="nil"/>
                    <w:bottom w:val="nil"/>
                    <w:right w:val="single" w:sz="4" w:space="0" w:color="auto"/>
                  </w:tcBorders>
                  <w:shd w:val="clear" w:color="auto" w:fill="auto"/>
                  <w:noWrap/>
                  <w:hideMark/>
                </w:tcPr>
                <w:p w:rsidR="00B77539" w:rsidRPr="00B77539" w:rsidRDefault="00B77539">
                  <w:pPr>
                    <w:jc w:val="right"/>
                    <w:rPr>
                      <w:rFonts w:ascii="Calibri" w:hAnsi="Calibri" w:cs="Calibri"/>
                      <w:b/>
                      <w:bCs/>
                      <w:color w:val="000000"/>
                      <w:sz w:val="18"/>
                      <w:szCs w:val="18"/>
                    </w:rPr>
                  </w:pPr>
                  <w:r w:rsidRPr="00B77539">
                    <w:rPr>
                      <w:rFonts w:ascii="Calibri" w:hAnsi="Calibri" w:cs="Calibri"/>
                      <w:b/>
                      <w:bCs/>
                      <w:color w:val="000000"/>
                      <w:sz w:val="18"/>
                      <w:szCs w:val="18"/>
                    </w:rPr>
                    <w:t>289.986</w:t>
                  </w:r>
                </w:p>
              </w:tc>
              <w:tc>
                <w:tcPr>
                  <w:tcW w:w="559"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color w:val="000000"/>
                      <w:sz w:val="18"/>
                      <w:szCs w:val="18"/>
                      <w:lang w:val="es-EC" w:eastAsia="es-EC"/>
                    </w:rPr>
                  </w:pPr>
                </w:p>
              </w:tc>
              <w:tc>
                <w:tcPr>
                  <w:tcW w:w="290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color w:val="000000"/>
                      <w:sz w:val="18"/>
                      <w:szCs w:val="18"/>
                      <w:lang w:val="es-EC" w:eastAsia="es-EC"/>
                    </w:rPr>
                  </w:pPr>
                </w:p>
              </w:tc>
              <w:tc>
                <w:tcPr>
                  <w:tcW w:w="973" w:type="dxa"/>
                  <w:tcBorders>
                    <w:top w:val="nil"/>
                    <w:left w:val="nil"/>
                    <w:bottom w:val="nil"/>
                    <w:right w:val="nil"/>
                  </w:tcBorders>
                  <w:shd w:val="clear" w:color="auto" w:fill="auto"/>
                  <w:noWrap/>
                  <w:hideMark/>
                </w:tcPr>
                <w:p w:rsidR="00B77539" w:rsidRPr="000B3A7F" w:rsidRDefault="00B77539" w:rsidP="000B3A7F">
                  <w:pPr>
                    <w:rPr>
                      <w:rFonts w:ascii="Calibri" w:hAnsi="Calibri" w:cs="Calibri"/>
                      <w:color w:val="000000"/>
                      <w:sz w:val="18"/>
                      <w:szCs w:val="18"/>
                      <w:lang w:val="es-EC" w:eastAsia="es-EC"/>
                    </w:rPr>
                  </w:pPr>
                </w:p>
              </w:tc>
            </w:tr>
          </w:tbl>
          <w:p w:rsidR="00454593" w:rsidRPr="00410A0A" w:rsidRDefault="00454593" w:rsidP="009036BF">
            <w:pPr>
              <w:spacing w:before="120" w:after="120"/>
              <w:jc w:val="both"/>
              <w:rPr>
                <w:rFonts w:asciiTheme="minorHAnsi" w:eastAsiaTheme="minorHAnsi" w:hAnsiTheme="minorHAnsi" w:cs="Arial"/>
                <w:b/>
                <w:bCs/>
                <w:color w:val="000000"/>
                <w:szCs w:val="22"/>
              </w:rPr>
            </w:pPr>
          </w:p>
        </w:tc>
      </w:tr>
      <w:tr w:rsidR="00935CAD" w:rsidRPr="00080CCB" w:rsidTr="007E7852">
        <w:trPr>
          <w:jc w:val="center"/>
        </w:trPr>
        <w:tc>
          <w:tcPr>
            <w:tcW w:w="9054" w:type="dxa"/>
            <w:gridSpan w:val="4"/>
            <w:shd w:val="clear" w:color="auto" w:fill="DBE5F1"/>
            <w:vAlign w:val="center"/>
          </w:tcPr>
          <w:p w:rsidR="00935CAD" w:rsidRPr="00410A0A" w:rsidRDefault="00E05929" w:rsidP="00D27611">
            <w:pPr>
              <w:spacing w:before="120" w:after="120"/>
              <w:jc w:val="center"/>
              <w:rPr>
                <w:rFonts w:asciiTheme="minorHAnsi" w:hAnsiTheme="minorHAnsi" w:cs="Arial"/>
                <w:szCs w:val="22"/>
              </w:rPr>
            </w:pPr>
            <w:r w:rsidRPr="00410A0A">
              <w:rPr>
                <w:rFonts w:asciiTheme="minorHAnsi" w:eastAsiaTheme="minorHAnsi" w:hAnsiTheme="minorHAnsi" w:cs="Arial"/>
                <w:b/>
                <w:bCs/>
                <w:color w:val="000000"/>
                <w:szCs w:val="22"/>
                <w:lang w:val="es-EC"/>
              </w:rPr>
              <w:t>4</w:t>
            </w:r>
            <w:r w:rsidR="00080CCB" w:rsidRPr="00410A0A">
              <w:rPr>
                <w:rFonts w:asciiTheme="minorHAnsi" w:eastAsiaTheme="minorHAnsi" w:hAnsiTheme="minorHAnsi" w:cs="Arial"/>
                <w:b/>
                <w:bCs/>
                <w:color w:val="000000"/>
                <w:szCs w:val="22"/>
                <w:lang w:val="es-EC"/>
              </w:rPr>
              <w:t xml:space="preserve">. </w:t>
            </w:r>
            <w:r w:rsidR="00935CAD" w:rsidRPr="00410A0A">
              <w:rPr>
                <w:rFonts w:asciiTheme="minorHAnsi" w:eastAsiaTheme="minorHAnsi" w:hAnsiTheme="minorHAnsi" w:cs="Arial"/>
                <w:b/>
                <w:bCs/>
                <w:color w:val="000000"/>
                <w:szCs w:val="22"/>
                <w:lang w:val="es-EC"/>
              </w:rPr>
              <w:t>FÓRMULA DE CÁLCULO</w:t>
            </w:r>
          </w:p>
        </w:tc>
      </w:tr>
      <w:tr w:rsidR="00BB0EEC" w:rsidRPr="00080CCB" w:rsidTr="007E7852">
        <w:trPr>
          <w:jc w:val="center"/>
        </w:trPr>
        <w:tc>
          <w:tcPr>
            <w:tcW w:w="9054" w:type="dxa"/>
            <w:gridSpan w:val="4"/>
            <w:shd w:val="clear" w:color="auto" w:fill="DBE5F1"/>
            <w:vAlign w:val="center"/>
          </w:tcPr>
          <w:p w:rsidR="00BB0EEC"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BB0EEC" w:rsidRPr="00080CCB" w:rsidTr="007E7852">
        <w:trPr>
          <w:jc w:val="center"/>
        </w:trPr>
        <w:tc>
          <w:tcPr>
            <w:tcW w:w="9054" w:type="dxa"/>
            <w:gridSpan w:val="4"/>
            <w:shd w:val="clear" w:color="auto" w:fill="DBE5F1"/>
            <w:vAlign w:val="center"/>
          </w:tcPr>
          <w:p w:rsidR="00BB0EEC" w:rsidRPr="00410A0A" w:rsidRDefault="00BB0EEC" w:rsidP="009036B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sidRPr="00BB0EEC">
              <w:rPr>
                <w:rFonts w:asciiTheme="minorHAnsi" w:eastAsiaTheme="minorHAnsi" w:hAnsiTheme="minorHAnsi" w:cs="Arial"/>
                <w:b/>
                <w:bCs/>
                <w:color w:val="000000"/>
                <w:szCs w:val="22"/>
                <w:lang w:val="es-EC"/>
              </w:rPr>
              <w:tab/>
              <w:t>Ahorro neto</w:t>
            </w:r>
          </w:p>
        </w:tc>
      </w:tr>
      <w:tr w:rsidR="00BB0EEC" w:rsidRPr="00080CCB" w:rsidTr="00BB0EEC">
        <w:trPr>
          <w:jc w:val="center"/>
        </w:trPr>
        <w:tc>
          <w:tcPr>
            <w:tcW w:w="9054" w:type="dxa"/>
            <w:gridSpan w:val="4"/>
            <w:shd w:val="clear" w:color="auto" w:fill="auto"/>
            <w:vAlign w:val="center"/>
          </w:tcPr>
          <w:p w:rsidR="000E7348" w:rsidRPr="00517347" w:rsidRDefault="000E7348" w:rsidP="000E7348">
            <w:pPr>
              <w:shd w:val="clear" w:color="auto" w:fill="FFFFFF" w:themeFill="background1"/>
              <w:spacing w:before="120" w:after="120"/>
              <w:jc w:val="center"/>
              <w:rPr>
                <w:rFonts w:asciiTheme="minorHAnsi" w:eastAsiaTheme="minorEastAsia" w:hAnsiTheme="minorHAnsi" w:cs="Arial"/>
                <w:color w:val="000000"/>
                <w:szCs w:val="22"/>
              </w:rPr>
            </w:pPr>
            <m:oMath>
              <m:r>
                <m:rPr>
                  <m:sty m:val="bi"/>
                </m:rPr>
                <w:rPr>
                  <w:rFonts w:ascii="Cambria Math" w:eastAsiaTheme="minorHAnsi" w:hAnsi="Cambria Math" w:cs="Arial"/>
                  <w:color w:val="000000"/>
                  <w:szCs w:val="22"/>
                </w:rPr>
                <m:t>B.8</m:t>
              </m:r>
              <m:r>
                <m:rPr>
                  <m:sty m:val="bi"/>
                </m:rPr>
                <w:rPr>
                  <w:rFonts w:ascii="Cambria Math" w:eastAsiaTheme="minorHAnsi" w:hAnsi="Cambria Math" w:cs="Arial"/>
                  <w:color w:val="000000"/>
                  <w:szCs w:val="22"/>
                </w:rPr>
                <m:t>n</m:t>
              </m:r>
              <m:r>
                <w:rPr>
                  <w:rFonts w:ascii="Cambria Math" w:eastAsiaTheme="minorHAnsi" w:hAnsi="Cambria Math" w:cs="Arial"/>
                  <w:color w:val="000000"/>
                  <w:szCs w:val="22"/>
                </w:rPr>
                <m:t>=B.6n-P.31-P.32</m:t>
              </m:r>
            </m:oMath>
            <w:r>
              <w:rPr>
                <w:rFonts w:asciiTheme="minorHAnsi" w:eastAsiaTheme="minorEastAsia" w:hAnsiTheme="minorHAnsi" w:cs="Arial"/>
                <w:bCs/>
                <w:color w:val="000000"/>
                <w:szCs w:val="22"/>
              </w:rPr>
              <w:t xml:space="preserve">                                                          </w:t>
            </w:r>
          </w:p>
          <w:p w:rsidR="000E7348" w:rsidRDefault="000E7348" w:rsidP="000E7348">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lastRenderedPageBreak/>
              <w:t>Dónde:</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w:t>
            </w:r>
            <w:r w:rsidR="00BE0FAE">
              <w:rPr>
                <w:rFonts w:asciiTheme="minorHAnsi" w:eastAsiaTheme="minorHAnsi" w:hAnsiTheme="minorHAnsi" w:cs="Arial"/>
                <w:bCs/>
                <w:color w:val="000000"/>
                <w:szCs w:val="22"/>
              </w:rPr>
              <w:t>n</w:t>
            </w:r>
            <w:r>
              <w:rPr>
                <w:rFonts w:asciiTheme="minorHAnsi" w:eastAsiaTheme="minorHAnsi" w:hAnsiTheme="minorHAnsi" w:cs="Arial"/>
                <w:bCs/>
                <w:color w:val="000000"/>
                <w:szCs w:val="22"/>
              </w:rPr>
              <w:t xml:space="preserve"> </w:t>
            </w:r>
            <w:r w:rsidRPr="009036BF">
              <w:rPr>
                <w:rFonts w:asciiTheme="minorHAnsi" w:eastAsiaTheme="minorHAnsi" w:hAnsiTheme="minorHAnsi" w:cs="Arial"/>
                <w:bCs/>
                <w:color w:val="000000"/>
                <w:szCs w:val="22"/>
              </w:rPr>
              <w:t xml:space="preserve">= </w:t>
            </w:r>
            <w:r>
              <w:rPr>
                <w:rFonts w:asciiTheme="minorHAnsi" w:eastAsiaTheme="minorHAnsi" w:hAnsiTheme="minorHAnsi" w:cs="Arial"/>
                <w:bCs/>
                <w:color w:val="000000"/>
                <w:szCs w:val="22"/>
              </w:rPr>
              <w:t>Ahorro 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B.6n </w:t>
            </w:r>
            <w:r w:rsidRPr="009036BF">
              <w:rPr>
                <w:rFonts w:asciiTheme="minorHAnsi" w:eastAsiaTheme="minorHAnsi" w:hAnsiTheme="minorHAnsi" w:cs="Arial"/>
                <w:bCs/>
                <w:color w:val="000000"/>
                <w:szCs w:val="22"/>
              </w:rPr>
              <w:t xml:space="preserve">= </w:t>
            </w:r>
            <w:r w:rsidRPr="00862698">
              <w:rPr>
                <w:rFonts w:asciiTheme="minorHAnsi" w:eastAsiaTheme="minorHAnsi" w:hAnsiTheme="minorHAnsi" w:cs="Arial"/>
                <w:bCs/>
                <w:color w:val="000000"/>
                <w:szCs w:val="22"/>
              </w:rPr>
              <w:t xml:space="preserve">Ingreso nacional disponible </w:t>
            </w:r>
            <w:r>
              <w:rPr>
                <w:rFonts w:asciiTheme="minorHAnsi" w:eastAsiaTheme="minorHAnsi" w:hAnsiTheme="minorHAnsi" w:cs="Arial"/>
                <w:bCs/>
                <w:color w:val="000000"/>
                <w:szCs w:val="22"/>
              </w:rPr>
              <w:t>neto</w:t>
            </w:r>
          </w:p>
          <w:p w:rsidR="000E7348" w:rsidRDefault="000E7348" w:rsidP="000E7348">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P.31 = </w:t>
            </w:r>
            <w:r w:rsidR="006379DF">
              <w:rPr>
                <w:rFonts w:asciiTheme="minorHAnsi" w:eastAsiaTheme="minorHAnsi" w:hAnsiTheme="minorHAnsi" w:cs="Arial"/>
                <w:bCs/>
                <w:color w:val="000000"/>
                <w:szCs w:val="22"/>
              </w:rPr>
              <w:t>Gasto de c</w:t>
            </w:r>
            <w:r w:rsidRPr="00862698">
              <w:rPr>
                <w:rFonts w:asciiTheme="minorHAnsi" w:eastAsiaTheme="minorHAnsi" w:hAnsiTheme="minorHAnsi" w:cs="Arial"/>
                <w:bCs/>
                <w:color w:val="000000"/>
                <w:szCs w:val="22"/>
              </w:rPr>
              <w:t>onsumo final individual</w:t>
            </w:r>
          </w:p>
          <w:p w:rsidR="004C2B0C" w:rsidRPr="00410A0A" w:rsidRDefault="000E7348" w:rsidP="00BE0FA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Cs/>
                <w:color w:val="000000"/>
                <w:szCs w:val="22"/>
              </w:rPr>
              <w:t>P.32 =</w:t>
            </w:r>
            <w:r w:rsidR="006379DF">
              <w:rPr>
                <w:rFonts w:asciiTheme="minorHAnsi" w:eastAsiaTheme="minorHAnsi" w:hAnsiTheme="minorHAnsi" w:cs="Arial"/>
                <w:bCs/>
                <w:color w:val="000000"/>
                <w:szCs w:val="22"/>
              </w:rPr>
              <w:t xml:space="preserve"> Gasto de c</w:t>
            </w:r>
            <w:r w:rsidRPr="00862698">
              <w:rPr>
                <w:rFonts w:asciiTheme="minorHAnsi" w:eastAsiaTheme="minorHAnsi" w:hAnsiTheme="minorHAnsi" w:cs="Arial"/>
                <w:bCs/>
                <w:color w:val="000000"/>
                <w:szCs w:val="22"/>
              </w:rPr>
              <w:t xml:space="preserve">onsumo final </w:t>
            </w:r>
            <w:r>
              <w:rPr>
                <w:rFonts w:asciiTheme="minorHAnsi" w:eastAsiaTheme="minorHAnsi" w:hAnsiTheme="minorHAnsi" w:cs="Arial"/>
                <w:bCs/>
                <w:color w:val="000000"/>
                <w:szCs w:val="22"/>
              </w:rPr>
              <w:t>co</w:t>
            </w:r>
            <w:r w:rsidRPr="00862698">
              <w:rPr>
                <w:rFonts w:asciiTheme="minorHAnsi" w:eastAsiaTheme="minorHAnsi" w:hAnsiTheme="minorHAnsi" w:cs="Arial"/>
                <w:bCs/>
                <w:color w:val="000000"/>
                <w:szCs w:val="22"/>
              </w:rPr>
              <w:t>l</w:t>
            </w:r>
            <w:r w:rsidR="006379DF">
              <w:rPr>
                <w:rFonts w:asciiTheme="minorHAnsi" w:eastAsiaTheme="minorHAnsi" w:hAnsiTheme="minorHAnsi" w:cs="Arial"/>
                <w:bCs/>
                <w:color w:val="000000"/>
                <w:szCs w:val="22"/>
              </w:rPr>
              <w:t xml:space="preserve">ectivo </w:t>
            </w:r>
          </w:p>
        </w:tc>
      </w:tr>
      <w:tr w:rsidR="00BB0EEC" w:rsidRPr="00080CCB" w:rsidTr="007E7852">
        <w:trPr>
          <w:jc w:val="center"/>
        </w:trPr>
        <w:tc>
          <w:tcPr>
            <w:tcW w:w="9054" w:type="dxa"/>
            <w:gridSpan w:val="4"/>
            <w:shd w:val="clear" w:color="auto" w:fill="DBE5F1"/>
            <w:vAlign w:val="center"/>
          </w:tcPr>
          <w:p w:rsidR="00BB0EEC"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 xml:space="preserve">D.9r </w:t>
            </w:r>
            <w:r w:rsidRPr="000B3A7F">
              <w:rPr>
                <w:rFonts w:asciiTheme="minorHAnsi" w:eastAsiaTheme="minorHAnsi" w:hAnsiTheme="minorHAnsi" w:cs="Arial"/>
                <w:b/>
                <w:bCs/>
                <w:color w:val="000000"/>
                <w:szCs w:val="22"/>
                <w:lang w:val="es-EC"/>
              </w:rPr>
              <w:tab/>
              <w:t>Transferencias de capital recibidas</w:t>
            </w:r>
          </w:p>
        </w:tc>
      </w:tr>
      <w:tr w:rsidR="000B3A7F" w:rsidRPr="00080CCB" w:rsidTr="000B3A7F">
        <w:trPr>
          <w:jc w:val="center"/>
        </w:trPr>
        <w:tc>
          <w:tcPr>
            <w:tcW w:w="9054" w:type="dxa"/>
            <w:gridSpan w:val="4"/>
            <w:shd w:val="clear" w:color="auto" w:fill="auto"/>
            <w:vAlign w:val="center"/>
          </w:tcPr>
          <w:p w:rsidR="000B3A7F" w:rsidRPr="00297267" w:rsidRDefault="00297267" w:rsidP="00297267">
            <w:pPr>
              <w:spacing w:before="120" w:after="120"/>
              <w:jc w:val="both"/>
              <w:rPr>
                <w:rFonts w:asciiTheme="minorHAnsi" w:eastAsiaTheme="minorHAnsi" w:hAnsiTheme="minorHAnsi" w:cs="Arial"/>
                <w:bCs/>
                <w:szCs w:val="22"/>
                <w:lang w:val="es-EC"/>
              </w:rPr>
            </w:pPr>
            <w:r w:rsidRPr="00297267">
              <w:rPr>
                <w:rFonts w:asciiTheme="minorHAnsi" w:eastAsiaTheme="minorHAnsi" w:hAnsiTheme="minorHAnsi" w:cs="Arial"/>
                <w:bCs/>
                <w:szCs w:val="22"/>
                <w:lang w:val="es-EC"/>
              </w:rPr>
              <w:t>No aplica</w:t>
            </w:r>
          </w:p>
        </w:tc>
      </w:tr>
      <w:tr w:rsidR="000B3A7F" w:rsidRPr="00080CCB" w:rsidTr="007E7852">
        <w:trPr>
          <w:jc w:val="center"/>
        </w:trPr>
        <w:tc>
          <w:tcPr>
            <w:tcW w:w="9054" w:type="dxa"/>
            <w:gridSpan w:val="4"/>
            <w:shd w:val="clear" w:color="auto" w:fill="DBE5F1"/>
            <w:vAlign w:val="center"/>
          </w:tcPr>
          <w:p w:rsidR="000B3A7F" w:rsidRPr="00410A0A" w:rsidRDefault="000B3A7F" w:rsidP="009036B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D.9p </w:t>
            </w:r>
            <w:r w:rsidRPr="000B3A7F">
              <w:rPr>
                <w:rFonts w:asciiTheme="minorHAnsi" w:eastAsiaTheme="minorHAnsi" w:hAnsiTheme="minorHAnsi" w:cs="Arial"/>
                <w:b/>
                <w:bCs/>
                <w:color w:val="000000"/>
                <w:szCs w:val="22"/>
                <w:lang w:val="es-EC"/>
              </w:rPr>
              <w:tab/>
              <w:t>Transferencias de capital pagadas (-)</w:t>
            </w:r>
          </w:p>
        </w:tc>
      </w:tr>
      <w:tr w:rsidR="000B3A7F" w:rsidRPr="00080CCB" w:rsidTr="000B3A7F">
        <w:trPr>
          <w:jc w:val="center"/>
        </w:trPr>
        <w:tc>
          <w:tcPr>
            <w:tcW w:w="9054" w:type="dxa"/>
            <w:gridSpan w:val="4"/>
            <w:shd w:val="clear" w:color="auto" w:fill="auto"/>
            <w:vAlign w:val="center"/>
          </w:tcPr>
          <w:p w:rsidR="000B3A7F" w:rsidRPr="00EF7A79" w:rsidRDefault="00297267" w:rsidP="004E034B">
            <w:pPr>
              <w:spacing w:before="120" w:after="120"/>
              <w:jc w:val="both"/>
              <w:rPr>
                <w:rFonts w:asciiTheme="minorHAnsi" w:eastAsiaTheme="minorHAnsi" w:hAnsiTheme="minorHAnsi" w:cs="Arial"/>
                <w:bCs/>
                <w:color w:val="FF0000"/>
                <w:szCs w:val="22"/>
                <w:lang w:val="es-EC"/>
              </w:rPr>
            </w:pPr>
            <w:r w:rsidRPr="00297267">
              <w:rPr>
                <w:rFonts w:asciiTheme="minorHAnsi" w:eastAsiaTheme="minorHAnsi" w:hAnsiTheme="minorHAnsi" w:cs="Arial"/>
                <w:bCs/>
                <w:szCs w:val="22"/>
                <w:lang w:val="es-EC"/>
              </w:rPr>
              <w:t>No aplica</w:t>
            </w:r>
          </w:p>
        </w:tc>
      </w:tr>
      <w:tr w:rsidR="000B3A7F" w:rsidRPr="00080CCB" w:rsidTr="007E7852">
        <w:trPr>
          <w:jc w:val="center"/>
        </w:trPr>
        <w:tc>
          <w:tcPr>
            <w:tcW w:w="9054" w:type="dxa"/>
            <w:gridSpan w:val="4"/>
            <w:shd w:val="clear" w:color="auto" w:fill="DBE5F1"/>
            <w:vAlign w:val="center"/>
          </w:tcPr>
          <w:p w:rsidR="000B3A7F" w:rsidRPr="00DC5743" w:rsidRDefault="000B3A7F" w:rsidP="009036BF">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0B3A7F" w:rsidRPr="00080CCB" w:rsidTr="000B3A7F">
        <w:trPr>
          <w:jc w:val="center"/>
        </w:trPr>
        <w:tc>
          <w:tcPr>
            <w:tcW w:w="9054" w:type="dxa"/>
            <w:gridSpan w:val="4"/>
            <w:shd w:val="clear" w:color="auto" w:fill="auto"/>
            <w:vAlign w:val="center"/>
          </w:tcPr>
          <w:p w:rsidR="004D6B36" w:rsidRPr="00675E9A" w:rsidRDefault="004D6B36" w:rsidP="00EC2629">
            <w:pPr>
              <w:shd w:val="clear" w:color="auto" w:fill="FFFFFF" w:themeFill="background1"/>
              <w:spacing w:before="120" w:after="120"/>
              <w:jc w:val="center"/>
              <w:rPr>
                <w:sz w:val="20"/>
                <w:szCs w:val="22"/>
                <w:lang w:val="es-PE"/>
              </w:rPr>
            </w:pPr>
            <m:oMathPara>
              <m:oMath>
                <m:r>
                  <w:rPr>
                    <w:rFonts w:ascii="Cambria Math" w:hAnsi="Cambria Math" w:cs="Arial"/>
                    <w:sz w:val="20"/>
                    <w:szCs w:val="22"/>
                    <w:lang w:val="es-PE"/>
                  </w:rPr>
                  <m:t>P.51b=(</m:t>
                </m:r>
                <m:d>
                  <m:dPr>
                    <m:ctrlPr>
                      <w:rPr>
                        <w:rFonts w:ascii="Cambria Math" w:hAnsi="Cambria Math" w:cs="Arial"/>
                        <w:i/>
                        <w:sz w:val="20"/>
                        <w:szCs w:val="22"/>
                        <w:lang w:val="es-PE"/>
                      </w:rPr>
                    </m:ctrlPr>
                  </m:dPr>
                  <m:e>
                    <m:r>
                      <w:rPr>
                        <w:rFonts w:ascii="Cambria Math" w:hAnsi="Cambria Math" w:cs="Arial"/>
                        <w:sz w:val="20"/>
                        <w:szCs w:val="22"/>
                        <w:lang w:val="es-PE"/>
                      </w:rPr>
                      <m:t>P.51 n-1</m:t>
                    </m:r>
                  </m:e>
                </m:d>
                <m:r>
                  <w:rPr>
                    <w:rFonts w:ascii="Cambria Math" w:hAnsi="Cambria Math" w:cs="Arial"/>
                    <w:sz w:val="20"/>
                    <w:szCs w:val="22"/>
                    <w:lang w:val="es-PE"/>
                  </w:rPr>
                  <m:t xml:space="preserve">*(P.1  n/ P.1 n-1)  </m:t>
                </m:r>
              </m:oMath>
            </m:oMathPara>
          </w:p>
          <w:p w:rsidR="00EC2629" w:rsidRPr="00517347" w:rsidRDefault="00EC2629" w:rsidP="00EC2629">
            <w:pPr>
              <w:shd w:val="clear" w:color="auto" w:fill="FFFFFF" w:themeFill="background1"/>
              <w:spacing w:before="120" w:after="120"/>
              <w:jc w:val="center"/>
              <w:rPr>
                <w:rFonts w:asciiTheme="minorHAnsi" w:eastAsiaTheme="minorEastAsia" w:hAnsiTheme="minorHAnsi" w:cs="Arial"/>
                <w:color w:val="000000"/>
                <w:szCs w:val="22"/>
              </w:rPr>
            </w:pPr>
            <w:r>
              <w:rPr>
                <w:rFonts w:asciiTheme="minorHAnsi" w:eastAsiaTheme="minorEastAsia" w:hAnsiTheme="minorHAnsi" w:cs="Arial"/>
                <w:bCs/>
                <w:color w:val="000000"/>
                <w:szCs w:val="22"/>
              </w:rPr>
              <w:t xml:space="preserve">                                                       </w:t>
            </w:r>
          </w:p>
          <w:p w:rsidR="00EC2629" w:rsidRDefault="00EC2629" w:rsidP="00EC262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0B3A7F" w:rsidRDefault="00D21358" w:rsidP="00EC2629">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P</w:t>
            </w:r>
            <w:r w:rsidR="00EC2629">
              <w:rPr>
                <w:rFonts w:asciiTheme="minorHAnsi" w:eastAsiaTheme="minorHAnsi" w:hAnsiTheme="minorHAnsi" w:cs="Arial"/>
                <w:bCs/>
                <w:color w:val="000000"/>
                <w:szCs w:val="22"/>
              </w:rPr>
              <w:t>.</w:t>
            </w:r>
            <w:r>
              <w:rPr>
                <w:rFonts w:asciiTheme="minorHAnsi" w:eastAsiaTheme="minorHAnsi" w:hAnsiTheme="minorHAnsi" w:cs="Arial"/>
                <w:bCs/>
                <w:color w:val="000000"/>
                <w:szCs w:val="22"/>
              </w:rPr>
              <w:t>51b</w:t>
            </w:r>
            <w:r w:rsidR="00EC2629">
              <w:rPr>
                <w:rFonts w:asciiTheme="minorHAnsi" w:eastAsiaTheme="minorHAnsi" w:hAnsiTheme="minorHAnsi" w:cs="Arial"/>
                <w:bCs/>
                <w:color w:val="000000"/>
                <w:szCs w:val="22"/>
              </w:rPr>
              <w:t xml:space="preserve"> </w:t>
            </w:r>
            <w:r w:rsidR="00EC2629" w:rsidRPr="009036BF">
              <w:rPr>
                <w:rFonts w:asciiTheme="minorHAnsi" w:eastAsiaTheme="minorHAnsi" w:hAnsiTheme="minorHAnsi" w:cs="Arial"/>
                <w:bCs/>
                <w:color w:val="000000"/>
                <w:szCs w:val="22"/>
              </w:rPr>
              <w:t xml:space="preserve">= </w:t>
            </w:r>
            <w:r w:rsidRPr="00D21358">
              <w:rPr>
                <w:rFonts w:asciiTheme="minorHAnsi" w:eastAsiaTheme="minorHAnsi" w:hAnsiTheme="minorHAnsi" w:cs="Arial"/>
                <w:bCs/>
                <w:color w:val="000000"/>
                <w:szCs w:val="22"/>
                <w:lang w:val="es-EC"/>
              </w:rPr>
              <w:t>Formación bruta de capital fijo</w:t>
            </w:r>
          </w:p>
          <w:p w:rsidR="001E781F" w:rsidRDefault="001E781F" w:rsidP="001E781F">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P.51 n-1 = </w:t>
            </w:r>
            <w:r w:rsidRPr="00D21358">
              <w:rPr>
                <w:rFonts w:asciiTheme="minorHAnsi" w:eastAsiaTheme="minorHAnsi" w:hAnsiTheme="minorHAnsi" w:cs="Arial"/>
                <w:bCs/>
                <w:color w:val="000000"/>
                <w:szCs w:val="22"/>
                <w:lang w:val="es-EC"/>
              </w:rPr>
              <w:t>Formación bruta de capital fijo</w:t>
            </w:r>
            <w:r>
              <w:rPr>
                <w:rFonts w:asciiTheme="minorHAnsi" w:eastAsiaTheme="minorHAnsi" w:hAnsiTheme="minorHAnsi" w:cs="Arial"/>
                <w:bCs/>
                <w:color w:val="000000"/>
                <w:szCs w:val="22"/>
                <w:lang w:val="es-EC"/>
              </w:rPr>
              <w:t xml:space="preserve"> 2010</w:t>
            </w:r>
          </w:p>
          <w:p w:rsidR="001E781F" w:rsidRDefault="001E781F" w:rsidP="001E781F">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P.1 n = Producción Total 2011</w:t>
            </w:r>
          </w:p>
          <w:p w:rsidR="004944A6" w:rsidRPr="00D21358" w:rsidRDefault="001E781F" w:rsidP="004944A6">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P.1 n-1 = Producción Total 2010</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Consumo de capital fijo (-)</w:t>
            </w:r>
          </w:p>
        </w:tc>
      </w:tr>
      <w:tr w:rsidR="000B3A7F" w:rsidRPr="00080CCB" w:rsidTr="000B3A7F">
        <w:trPr>
          <w:jc w:val="center"/>
        </w:trPr>
        <w:tc>
          <w:tcPr>
            <w:tcW w:w="9054" w:type="dxa"/>
            <w:gridSpan w:val="4"/>
            <w:shd w:val="clear" w:color="auto" w:fill="auto"/>
            <w:vAlign w:val="center"/>
          </w:tcPr>
          <w:p w:rsidR="00C640EC" w:rsidRDefault="00C640EC"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La metodología de cálculo para esta variable se la encuentra en la ficha metodológica de Consumo de capital fijo.</w:t>
            </w:r>
          </w:p>
          <w:p w:rsidR="000B3A7F" w:rsidRPr="008020C1" w:rsidRDefault="00D21358" w:rsidP="00D213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variable P.51c se toma de </w:t>
            </w:r>
            <w:r w:rsidRPr="00D21358">
              <w:rPr>
                <w:rFonts w:asciiTheme="minorHAnsi" w:eastAsiaTheme="minorHAnsi" w:hAnsiTheme="minorHAnsi" w:cs="Arial"/>
                <w:bCs/>
                <w:color w:val="000000"/>
                <w:szCs w:val="22"/>
                <w:lang w:val="es-EC"/>
              </w:rPr>
              <w:t>I. CUENTA DE PRODUCCIÓN</w:t>
            </w:r>
            <w:r>
              <w:rPr>
                <w:rFonts w:asciiTheme="minorHAnsi" w:eastAsiaTheme="minorHAnsi" w:hAnsiTheme="minorHAnsi" w:cs="Arial"/>
                <w:bCs/>
                <w:color w:val="000000"/>
                <w:szCs w:val="22"/>
                <w:lang w:val="es-EC"/>
              </w:rPr>
              <w:t>)</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w:t>
            </w:r>
            <w:r w:rsidR="00CA0B07">
              <w:rPr>
                <w:rFonts w:asciiTheme="minorHAnsi" w:eastAsiaTheme="minorHAnsi" w:hAnsiTheme="minorHAnsi" w:cs="Arial"/>
                <w:b/>
                <w:bCs/>
                <w:color w:val="000000"/>
                <w:szCs w:val="22"/>
                <w:lang w:val="es-EC"/>
              </w:rPr>
              <w:t xml:space="preserve">  </w:t>
            </w:r>
            <w:r>
              <w:rPr>
                <w:rFonts w:asciiTheme="minorHAnsi" w:eastAsiaTheme="minorHAnsi" w:hAnsiTheme="minorHAnsi" w:cs="Arial"/>
                <w:b/>
                <w:bCs/>
                <w:color w:val="000000"/>
                <w:szCs w:val="22"/>
                <w:lang w:val="es-EC"/>
              </w:rPr>
              <w:t>Variaciones de existencias</w:t>
            </w:r>
          </w:p>
        </w:tc>
      </w:tr>
      <w:tr w:rsidR="000B3A7F" w:rsidRPr="00080CCB" w:rsidTr="000B3A7F">
        <w:trPr>
          <w:jc w:val="center"/>
        </w:trPr>
        <w:tc>
          <w:tcPr>
            <w:tcW w:w="9054" w:type="dxa"/>
            <w:gridSpan w:val="4"/>
            <w:shd w:val="clear" w:color="auto" w:fill="auto"/>
            <w:vAlign w:val="center"/>
          </w:tcPr>
          <w:p w:rsidR="000B3A7F" w:rsidRPr="008020C1" w:rsidRDefault="00A5629A" w:rsidP="00A5629A">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No aplica</w:t>
            </w:r>
          </w:p>
        </w:tc>
      </w:tr>
      <w:tr w:rsidR="000B3A7F" w:rsidRPr="00080CCB" w:rsidTr="007E7852">
        <w:trPr>
          <w:jc w:val="center"/>
        </w:trPr>
        <w:tc>
          <w:tcPr>
            <w:tcW w:w="9054" w:type="dxa"/>
            <w:gridSpan w:val="4"/>
            <w:shd w:val="clear" w:color="auto" w:fill="DBE5F1"/>
            <w:vAlign w:val="center"/>
          </w:tcPr>
          <w:p w:rsidR="000B3A7F" w:rsidRPr="00410A0A"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 xml:space="preserve">P.53 </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0B3A7F" w:rsidRPr="00080CCB" w:rsidTr="000B3A7F">
        <w:trPr>
          <w:jc w:val="center"/>
        </w:trPr>
        <w:tc>
          <w:tcPr>
            <w:tcW w:w="9054" w:type="dxa"/>
            <w:gridSpan w:val="4"/>
            <w:shd w:val="clear" w:color="auto" w:fill="auto"/>
            <w:vAlign w:val="center"/>
          </w:tcPr>
          <w:p w:rsidR="000B3A7F" w:rsidRPr="008020C1" w:rsidRDefault="00A5629A" w:rsidP="00C640E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0B3A7F" w:rsidRPr="00080CCB" w:rsidTr="000B3A7F">
        <w:trPr>
          <w:jc w:val="center"/>
        </w:trPr>
        <w:tc>
          <w:tcPr>
            <w:tcW w:w="9054" w:type="dxa"/>
            <w:gridSpan w:val="4"/>
            <w:shd w:val="clear" w:color="auto" w:fill="auto"/>
            <w:vAlign w:val="center"/>
          </w:tcPr>
          <w:p w:rsidR="000B3A7F" w:rsidRPr="00D0251C" w:rsidRDefault="00F0782F" w:rsidP="00D0251C">
            <w:pPr>
              <w:spacing w:before="120" w:after="120"/>
              <w:jc w:val="both"/>
              <w:rPr>
                <w:sz w:val="20"/>
                <w:szCs w:val="22"/>
              </w:rPr>
            </w:pPr>
            <w:r>
              <w:rPr>
                <w:rFonts w:asciiTheme="minorHAnsi" w:eastAsiaTheme="minorHAnsi" w:hAnsiTheme="minorHAnsi" w:cs="Arial"/>
                <w:bCs/>
                <w:color w:val="000000"/>
                <w:szCs w:val="22"/>
              </w:rPr>
              <w:t>No aplica</w:t>
            </w:r>
          </w:p>
        </w:tc>
      </w:tr>
      <w:tr w:rsidR="000B3A7F" w:rsidRPr="00080CCB" w:rsidTr="007E7852">
        <w:trPr>
          <w:jc w:val="center"/>
        </w:trPr>
        <w:tc>
          <w:tcPr>
            <w:tcW w:w="9054" w:type="dxa"/>
            <w:gridSpan w:val="4"/>
            <w:shd w:val="clear" w:color="auto" w:fill="DBE5F1"/>
            <w:vAlign w:val="center"/>
          </w:tcPr>
          <w:p w:rsidR="000B3A7F" w:rsidRPr="000B3A7F" w:rsidRDefault="000B3A7F" w:rsidP="00CA0B07">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sidR="00CA0B07">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0B3A7F" w:rsidRPr="00080CCB" w:rsidTr="000B3A7F">
        <w:trPr>
          <w:jc w:val="center"/>
        </w:trPr>
        <w:tc>
          <w:tcPr>
            <w:tcW w:w="9054" w:type="dxa"/>
            <w:gridSpan w:val="4"/>
            <w:shd w:val="clear" w:color="auto" w:fill="auto"/>
            <w:vAlign w:val="center"/>
          </w:tcPr>
          <w:p w:rsidR="00AF1749" w:rsidRPr="0018477A" w:rsidRDefault="001A1FFF" w:rsidP="00AF1749">
            <w:pPr>
              <w:shd w:val="clear" w:color="auto" w:fill="FFFFFF" w:themeFill="background1"/>
              <w:spacing w:before="120" w:after="120"/>
              <w:jc w:val="center"/>
              <w:rPr>
                <w:color w:val="000000"/>
                <w:szCs w:val="22"/>
                <w:lang w:val="en-US"/>
              </w:rPr>
            </w:pPr>
            <w:r>
              <w:rPr>
                <w:b/>
                <w:noProof/>
                <w:color w:val="000000"/>
                <w:sz w:val="6"/>
                <w:szCs w:val="22"/>
                <w:lang w:val="es-EC" w:eastAsia="es-EC"/>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91.1pt;margin-top:-60.45pt;width:9.9pt;height:171.8pt;rotation:270;z-index:251660288;mso-position-horizontal-relative:text;mso-position-vertical-relative:text"/>
              </w:pict>
            </w:r>
            <w:r>
              <w:rPr>
                <w:b/>
                <w:noProof/>
                <w:color w:val="000000"/>
                <w:sz w:val="6"/>
                <w:szCs w:val="22"/>
                <w:lang w:val="es-EC" w:eastAsia="es-EC"/>
              </w:rPr>
              <w:pict>
                <v:shape id="_x0000_s1026" type="#_x0000_t87" style="position:absolute;left:0;text-align:left;margin-left:141.8pt;margin-top:-23.3pt;width:4.95pt;height:97.35pt;rotation:270;z-index:251659264;mso-position-horizontal-relative:text;mso-position-vertical-relative:text"/>
              </w:pict>
            </w:r>
            <w:r w:rsidR="00AF1749"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AF1749" w:rsidRPr="00AF1749" w:rsidRDefault="00AF1749" w:rsidP="00AF1749">
            <w:pPr>
              <w:shd w:val="clear" w:color="auto" w:fill="FFFFFF" w:themeFill="background1"/>
              <w:spacing w:before="120" w:after="120"/>
              <w:jc w:val="center"/>
              <w:rPr>
                <w:color w:val="000000"/>
                <w:sz w:val="2"/>
                <w:szCs w:val="22"/>
                <w:lang w:val="en-US"/>
              </w:rPr>
            </w:pPr>
          </w:p>
          <w:p w:rsidR="00AF1749" w:rsidRPr="009F021A" w:rsidRDefault="00AF1749" w:rsidP="00AF1749">
            <w:pPr>
              <w:shd w:val="clear" w:color="auto" w:fill="FFFFFF" w:themeFill="background1"/>
              <w:spacing w:before="120" w:after="120"/>
              <w:rPr>
                <w:color w:val="000000"/>
                <w:szCs w:val="22"/>
                <w:lang w:val="es-EC"/>
              </w:rPr>
            </w:pPr>
            <w:r w:rsidRPr="0018477A">
              <w:rPr>
                <w:rFonts w:asciiTheme="minorHAnsi" w:eastAsiaTheme="minorEastAsia" w:hAnsiTheme="minorHAnsi" w:cs="Arial"/>
                <w:bCs/>
                <w:color w:val="000000"/>
                <w:szCs w:val="22"/>
                <w:lang w:val="en-US"/>
              </w:rPr>
              <w:t xml:space="preserve">                                   </w:t>
            </w:r>
            <w:r w:rsidRPr="0018477A">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AF1749" w:rsidRDefault="00AF1749" w:rsidP="00AF1749">
            <w:pPr>
              <w:shd w:val="clear" w:color="auto" w:fill="FFFFFF" w:themeFill="background1"/>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AF1749" w:rsidRDefault="000125E5"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B.9</w:t>
            </w:r>
            <w:r w:rsidR="00AF1749">
              <w:rPr>
                <w:rFonts w:asciiTheme="minorHAnsi" w:eastAsiaTheme="minorHAnsi" w:hAnsiTheme="minorHAnsi" w:cs="Arial"/>
                <w:bCs/>
                <w:color w:val="000000"/>
                <w:szCs w:val="22"/>
              </w:rPr>
              <w:t xml:space="preserve">  </w:t>
            </w:r>
            <w:r w:rsidR="00D423CB">
              <w:rPr>
                <w:rFonts w:asciiTheme="minorHAnsi" w:eastAsiaTheme="minorHAnsi" w:hAnsiTheme="minorHAnsi" w:cs="Arial"/>
                <w:bCs/>
                <w:color w:val="000000"/>
                <w:szCs w:val="22"/>
              </w:rPr>
              <w:t xml:space="preserve">   </w:t>
            </w:r>
            <w:r w:rsidR="00AF1749">
              <w:rPr>
                <w:rFonts w:asciiTheme="minorHAnsi" w:eastAsiaTheme="minorHAnsi" w:hAnsiTheme="minorHAnsi" w:cs="Arial"/>
                <w:bCs/>
                <w:color w:val="000000"/>
                <w:szCs w:val="22"/>
              </w:rPr>
              <w:t xml:space="preserve">= </w:t>
            </w:r>
            <w:r w:rsidRPr="000125E5">
              <w:rPr>
                <w:rFonts w:asciiTheme="minorHAnsi" w:eastAsiaTheme="minorHAnsi" w:hAnsiTheme="minorHAnsi" w:cs="Arial"/>
                <w:bCs/>
                <w:color w:val="000000"/>
                <w:szCs w:val="22"/>
              </w:rPr>
              <w:t>Préstamo neto / endeudamiento neto</w:t>
            </w:r>
          </w:p>
          <w:p w:rsidR="000125E5"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B.8n   = Ahorro neto</w:t>
            </w:r>
          </w:p>
          <w:p w:rsidR="00D423CB" w:rsidRDefault="00D423CB" w:rsidP="00AF1749">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D.9r   = </w:t>
            </w:r>
            <w:r w:rsidRPr="00D423CB">
              <w:rPr>
                <w:rFonts w:asciiTheme="minorHAnsi" w:eastAsiaTheme="minorHAnsi" w:hAnsiTheme="minorHAnsi" w:cs="Arial"/>
                <w:bCs/>
                <w:color w:val="000000"/>
                <w:szCs w:val="22"/>
              </w:rPr>
              <w:t>Transferencias de capital recibidas</w:t>
            </w:r>
          </w:p>
          <w:p w:rsidR="00D423CB" w:rsidRPr="00D423CB" w:rsidRDefault="00D423CB" w:rsidP="00D423CB">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D.9p   = </w:t>
            </w:r>
            <w:r w:rsidRPr="00D423CB">
              <w:rPr>
                <w:rFonts w:asciiTheme="minorHAnsi" w:eastAsiaTheme="minorHAnsi" w:hAnsiTheme="minorHAnsi" w:cs="Arial"/>
                <w:bCs/>
                <w:color w:val="000000"/>
                <w:szCs w:val="22"/>
              </w:rPr>
              <w:t>Transferencias de capital pagadas (-)</w:t>
            </w:r>
          </w:p>
          <w:p w:rsidR="000B3A7F" w:rsidRDefault="00D423CB" w:rsidP="00AF1749">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P.51b</w:t>
            </w:r>
            <w:r>
              <w:rPr>
                <w:rFonts w:asciiTheme="minorHAnsi" w:eastAsiaTheme="minorHAnsi" w:hAnsiTheme="minorHAnsi" w:cs="Arial"/>
                <w:bCs/>
                <w:color w:val="000000"/>
                <w:szCs w:val="22"/>
              </w:rPr>
              <w:t xml:space="preserve"> = </w:t>
            </w:r>
            <w:r w:rsidRPr="00D423CB">
              <w:rPr>
                <w:rFonts w:asciiTheme="minorHAnsi" w:eastAsiaTheme="minorHAnsi" w:hAnsiTheme="minorHAnsi" w:cs="Arial"/>
                <w:bCs/>
                <w:color w:val="000000"/>
                <w:szCs w:val="22"/>
              </w:rPr>
              <w:t>Formación bruta de capital fijo</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P.51</w:t>
            </w:r>
            <w:r>
              <w:rPr>
                <w:rFonts w:asciiTheme="minorHAnsi" w:eastAsiaTheme="minorHAnsi" w:hAnsiTheme="minorHAnsi" w:cs="Arial"/>
                <w:bCs/>
                <w:color w:val="000000"/>
                <w:szCs w:val="22"/>
              </w:rPr>
              <w:t xml:space="preserve">c = </w:t>
            </w:r>
            <w:r w:rsidRPr="00D423CB">
              <w:rPr>
                <w:rFonts w:asciiTheme="minorHAnsi" w:eastAsiaTheme="minorHAnsi" w:hAnsiTheme="minorHAnsi" w:cs="Arial"/>
                <w:bCs/>
                <w:color w:val="000000"/>
                <w:szCs w:val="22"/>
              </w:rPr>
              <w:t>Consumo de capital fijo (-)</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2   = </w:t>
            </w:r>
            <w:r w:rsidRPr="00D423CB">
              <w:rPr>
                <w:rFonts w:asciiTheme="minorHAnsi" w:eastAsiaTheme="minorHAnsi" w:hAnsiTheme="minorHAnsi" w:cs="Arial"/>
                <w:bCs/>
                <w:color w:val="000000"/>
                <w:szCs w:val="22"/>
              </w:rPr>
              <w:t>Variaciones de existencias</w:t>
            </w:r>
          </w:p>
          <w:p w:rsidR="00D423CB" w:rsidRDefault="00D423CB" w:rsidP="00D423CB">
            <w:pPr>
              <w:spacing w:before="120" w:after="120"/>
              <w:jc w:val="both"/>
              <w:rPr>
                <w:rFonts w:asciiTheme="minorHAnsi" w:eastAsiaTheme="minorHAnsi" w:hAnsiTheme="minorHAnsi" w:cs="Arial"/>
                <w:bCs/>
                <w:color w:val="000000"/>
                <w:szCs w:val="22"/>
              </w:rPr>
            </w:pPr>
            <w:r w:rsidRPr="00D423CB">
              <w:rPr>
                <w:rFonts w:asciiTheme="minorHAnsi" w:eastAsiaTheme="minorHAnsi" w:hAnsiTheme="minorHAnsi" w:cs="Arial"/>
                <w:bCs/>
                <w:color w:val="000000"/>
                <w:szCs w:val="22"/>
              </w:rPr>
              <w:t>P.5</w:t>
            </w:r>
            <w:r>
              <w:rPr>
                <w:rFonts w:asciiTheme="minorHAnsi" w:eastAsiaTheme="minorHAnsi" w:hAnsiTheme="minorHAnsi" w:cs="Arial"/>
                <w:bCs/>
                <w:color w:val="000000"/>
                <w:szCs w:val="22"/>
              </w:rPr>
              <w:t xml:space="preserve">3   = </w:t>
            </w:r>
            <w:r w:rsidRPr="00D423CB">
              <w:rPr>
                <w:rFonts w:asciiTheme="minorHAnsi" w:eastAsiaTheme="minorHAnsi" w:hAnsiTheme="minorHAnsi" w:cs="Arial"/>
                <w:bCs/>
                <w:color w:val="000000"/>
                <w:szCs w:val="22"/>
              </w:rPr>
              <w:t>Adquisiciones menos disposiciones de objetos valiosos</w:t>
            </w:r>
          </w:p>
          <w:p w:rsidR="0025612F" w:rsidRPr="0025612F" w:rsidRDefault="00D423CB" w:rsidP="00E0227D">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 xml:space="preserve">NP      = </w:t>
            </w:r>
            <w:r w:rsidRPr="00D423CB">
              <w:rPr>
                <w:rFonts w:asciiTheme="minorHAnsi" w:eastAsiaTheme="minorHAnsi" w:hAnsiTheme="minorHAnsi" w:cs="Arial"/>
                <w:bCs/>
                <w:color w:val="000000"/>
                <w:szCs w:val="22"/>
              </w:rPr>
              <w:t>Adquisición menos disposiciones de activos no financieros no producidos</w:t>
            </w:r>
          </w:p>
        </w:tc>
      </w:tr>
      <w:tr w:rsidR="000B3A7F" w:rsidRPr="00080CCB" w:rsidTr="007E7852">
        <w:trPr>
          <w:jc w:val="center"/>
        </w:trPr>
        <w:tc>
          <w:tcPr>
            <w:tcW w:w="9054" w:type="dxa"/>
            <w:gridSpan w:val="4"/>
            <w:shd w:val="clear" w:color="auto" w:fill="DBE5F1"/>
            <w:vAlign w:val="center"/>
          </w:tcPr>
          <w:p w:rsidR="000B3A7F" w:rsidRPr="00410A0A" w:rsidRDefault="000B3A7F" w:rsidP="00DC5743">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t>5. DEFINICIÓN DE LAS VARIABLES RELACIONADAS</w:t>
            </w:r>
          </w:p>
        </w:tc>
      </w:tr>
      <w:tr w:rsidR="00D53653" w:rsidRPr="00080CCB" w:rsidTr="007E7852">
        <w:trPr>
          <w:jc w:val="center"/>
        </w:trPr>
        <w:tc>
          <w:tcPr>
            <w:tcW w:w="9054" w:type="dxa"/>
            <w:gridSpan w:val="4"/>
            <w:vAlign w:val="center"/>
          </w:tcPr>
          <w:p w:rsidR="00D53653" w:rsidRPr="00410A0A" w:rsidRDefault="00D53653" w:rsidP="009036BF">
            <w:pPr>
              <w:jc w:val="both"/>
              <w:rPr>
                <w:rFonts w:asciiTheme="minorHAnsi" w:hAnsiTheme="minorHAnsi"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716"/>
              <w:gridCol w:w="6229"/>
            </w:tblGrid>
            <w:tr w:rsidR="00D53653" w:rsidRPr="0025612F" w:rsidTr="006C2A67">
              <w:trPr>
                <w:trHeight w:hRule="exact" w:val="1050"/>
                <w:tblHeader/>
              </w:trPr>
              <w:tc>
                <w:tcPr>
                  <w:tcW w:w="500"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Código SCN 2008</w:t>
                  </w:r>
                </w:p>
              </w:tc>
              <w:tc>
                <w:tcPr>
                  <w:tcW w:w="972"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Transacción</w:t>
                  </w:r>
                </w:p>
              </w:tc>
              <w:tc>
                <w:tcPr>
                  <w:tcW w:w="3528" w:type="pct"/>
                  <w:shd w:val="clear" w:color="auto" w:fill="DEEAF6" w:themeFill="accent1" w:themeFillTint="33"/>
                  <w:vAlign w:val="center"/>
                </w:tcPr>
                <w:p w:rsidR="00D53653" w:rsidRPr="0025612F" w:rsidRDefault="00D53653" w:rsidP="0025612F">
                  <w:pPr>
                    <w:spacing w:before="120" w:after="120"/>
                    <w:jc w:val="center"/>
                    <w:rPr>
                      <w:rFonts w:asciiTheme="minorHAnsi" w:hAnsiTheme="minorHAnsi" w:cs="Calibri"/>
                      <w:b/>
                      <w:szCs w:val="22"/>
                      <w:lang w:val="es-EC"/>
                    </w:rPr>
                  </w:pPr>
                  <w:r w:rsidRPr="0025612F">
                    <w:rPr>
                      <w:rFonts w:asciiTheme="minorHAnsi" w:hAnsiTheme="minorHAnsi" w:cs="Calibri"/>
                      <w:b/>
                      <w:sz w:val="22"/>
                      <w:szCs w:val="22"/>
                      <w:lang w:val="es-EC"/>
                    </w:rPr>
                    <w:t>Descripción</w:t>
                  </w:r>
                </w:p>
              </w:tc>
            </w:tr>
            <w:tr w:rsidR="00566D13" w:rsidRPr="0025612F" w:rsidTr="00D44900">
              <w:trPr>
                <w:trHeight w:val="156"/>
              </w:trPr>
              <w:tc>
                <w:tcPr>
                  <w:tcW w:w="500"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B.8n </w:t>
                  </w:r>
                </w:p>
              </w:tc>
              <w:tc>
                <w:tcPr>
                  <w:tcW w:w="972" w:type="pct"/>
                </w:tcPr>
                <w:p w:rsidR="00566D13" w:rsidRPr="0025612F" w:rsidRDefault="00566D13" w:rsidP="0025612F">
                  <w:pPr>
                    <w:spacing w:before="120" w:after="120"/>
                    <w:rPr>
                      <w:rFonts w:asciiTheme="minorHAnsi" w:hAnsiTheme="minorHAnsi" w:cs="Calibri"/>
                      <w:b/>
                      <w:bCs/>
                      <w:szCs w:val="22"/>
                    </w:rPr>
                  </w:pPr>
                  <w:r w:rsidRPr="0025612F">
                    <w:rPr>
                      <w:rFonts w:asciiTheme="minorHAnsi" w:hAnsiTheme="minorHAnsi" w:cs="Calibri"/>
                      <w:b/>
                      <w:bCs/>
                      <w:sz w:val="22"/>
                      <w:szCs w:val="22"/>
                    </w:rPr>
                    <w:t xml:space="preserve">Ahorro neto </w:t>
                  </w:r>
                </w:p>
              </w:tc>
              <w:tc>
                <w:tcPr>
                  <w:tcW w:w="3528" w:type="pct"/>
                  <w:shd w:val="clear" w:color="auto" w:fill="FFFFFF" w:themeFill="background1"/>
                </w:tcPr>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es el saldo contable en las dos cuentas de utilización del ingreso. Su valor es el mismo tanto si se obtiene restando los gastos de consumo final del ingreso disponible, como si se obtiene restando el consumo final efectivo del ingreso disponible ajustado (en ambos casos, después de hacer el ajuste por la variación de los </w:t>
                  </w:r>
                  <w:r w:rsidRPr="0015678B">
                    <w:rPr>
                      <w:rFonts w:asciiTheme="minorHAnsi" w:eastAsiaTheme="minorHAnsi" w:hAnsiTheme="minorHAnsi" w:cs="Arial"/>
                      <w:bCs/>
                      <w:color w:val="000000"/>
                      <w:sz w:val="22"/>
                      <w:szCs w:val="22"/>
                    </w:rPr>
                    <w:lastRenderedPageBreak/>
                    <w:t>derechos de pensión descrita anteriormente).</w:t>
                  </w:r>
                </w:p>
                <w:p w:rsidR="00D44900" w:rsidRPr="0015678B"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 xml:space="preserve">El ahorro representa </w:t>
                  </w:r>
                  <w:r>
                    <w:rPr>
                      <w:rFonts w:asciiTheme="minorHAnsi" w:eastAsiaTheme="minorHAnsi" w:hAnsiTheme="minorHAnsi" w:cs="Arial"/>
                      <w:bCs/>
                      <w:color w:val="000000"/>
                      <w:sz w:val="22"/>
                      <w:szCs w:val="22"/>
                    </w:rPr>
                    <w:t xml:space="preserve">la parte del ingreso disponible </w:t>
                  </w:r>
                  <w:r w:rsidRPr="0015678B">
                    <w:rPr>
                      <w:rFonts w:asciiTheme="minorHAnsi" w:eastAsiaTheme="minorHAnsi" w:hAnsiTheme="minorHAnsi" w:cs="Arial"/>
                      <w:bCs/>
                      <w:color w:val="000000"/>
                      <w:sz w:val="22"/>
                      <w:szCs w:val="22"/>
                    </w:rPr>
                    <w:t>(ajustado por la variac</w:t>
                  </w:r>
                  <w:r>
                    <w:rPr>
                      <w:rFonts w:asciiTheme="minorHAnsi" w:eastAsiaTheme="minorHAnsi" w:hAnsiTheme="minorHAnsi" w:cs="Arial"/>
                      <w:bCs/>
                      <w:color w:val="000000"/>
                      <w:sz w:val="22"/>
                      <w:szCs w:val="22"/>
                    </w:rPr>
                    <w:t xml:space="preserve">ión en los derechos de pensión) </w:t>
                  </w:r>
                  <w:r w:rsidRPr="0015678B">
                    <w:rPr>
                      <w:rFonts w:asciiTheme="minorHAnsi" w:eastAsiaTheme="minorHAnsi" w:hAnsiTheme="minorHAnsi" w:cs="Arial"/>
                      <w:bCs/>
                      <w:color w:val="000000"/>
                      <w:sz w:val="22"/>
                      <w:szCs w:val="22"/>
                    </w:rPr>
                    <w:t>que no se gasta en bienes y servicios de consumo final.</w:t>
                  </w:r>
                </w:p>
                <w:p w:rsidR="00D44900" w:rsidRDefault="00D44900" w:rsidP="00D44900">
                  <w:pPr>
                    <w:shd w:val="clear" w:color="auto" w:fill="FFFFFF" w:themeFill="background1"/>
                    <w:autoSpaceDE w:val="0"/>
                    <w:autoSpaceDN w:val="0"/>
                    <w:adjustRightInd w:val="0"/>
                    <w:spacing w:before="120" w:after="120"/>
                    <w:jc w:val="both"/>
                    <w:rPr>
                      <w:rFonts w:asciiTheme="minorHAnsi" w:eastAsiaTheme="minorHAnsi" w:hAnsiTheme="minorHAnsi" w:cs="Arial"/>
                      <w:bCs/>
                      <w:color w:val="000000"/>
                      <w:szCs w:val="22"/>
                    </w:rPr>
                  </w:pPr>
                  <w:r w:rsidRPr="0015678B">
                    <w:rPr>
                      <w:rFonts w:asciiTheme="minorHAnsi" w:eastAsiaTheme="minorHAnsi" w:hAnsiTheme="minorHAnsi" w:cs="Arial"/>
                      <w:bCs/>
                      <w:color w:val="000000"/>
                      <w:sz w:val="22"/>
                      <w:szCs w:val="22"/>
                    </w:rPr>
                    <w:t>Puede ser positivo o</w:t>
                  </w:r>
                  <w:r>
                    <w:rPr>
                      <w:rFonts w:asciiTheme="minorHAnsi" w:eastAsiaTheme="minorHAnsi" w:hAnsiTheme="minorHAnsi" w:cs="Arial"/>
                      <w:bCs/>
                      <w:color w:val="000000"/>
                      <w:sz w:val="22"/>
                      <w:szCs w:val="22"/>
                    </w:rPr>
                    <w:t xml:space="preserve"> negativo, según que el ingreso </w:t>
                  </w:r>
                  <w:r w:rsidRPr="0015678B">
                    <w:rPr>
                      <w:rFonts w:asciiTheme="minorHAnsi" w:eastAsiaTheme="minorHAnsi" w:hAnsiTheme="minorHAnsi" w:cs="Arial"/>
                      <w:bCs/>
                      <w:color w:val="000000"/>
                      <w:sz w:val="22"/>
                      <w:szCs w:val="22"/>
                    </w:rPr>
                    <w:t>disponible supere a</w:t>
                  </w:r>
                  <w:r>
                    <w:rPr>
                      <w:rFonts w:asciiTheme="minorHAnsi" w:eastAsiaTheme="minorHAnsi" w:hAnsiTheme="minorHAnsi" w:cs="Arial"/>
                      <w:bCs/>
                      <w:color w:val="000000"/>
                      <w:sz w:val="22"/>
                      <w:szCs w:val="22"/>
                    </w:rPr>
                    <w:t xml:space="preserve"> los gastos de consumo final, o </w:t>
                  </w:r>
                  <w:r w:rsidRPr="0015678B">
                    <w:rPr>
                      <w:rFonts w:asciiTheme="minorHAnsi" w:eastAsiaTheme="minorHAnsi" w:hAnsiTheme="minorHAnsi" w:cs="Arial"/>
                      <w:bCs/>
                      <w:color w:val="000000"/>
                      <w:sz w:val="22"/>
                      <w:szCs w:val="22"/>
                    </w:rPr>
                    <w:t xml:space="preserve">viceversa.  </w:t>
                  </w:r>
                </w:p>
                <w:p w:rsidR="00566D13" w:rsidRPr="0025612F" w:rsidRDefault="00D44900" w:rsidP="00D44900">
                  <w:pPr>
                    <w:shd w:val="clear" w:color="auto" w:fill="FFFFFF" w:themeFill="background1"/>
                    <w:spacing w:before="120" w:after="120"/>
                    <w:rPr>
                      <w:rFonts w:asciiTheme="minorHAnsi" w:hAnsiTheme="minorHAnsi"/>
                      <w:szCs w:val="22"/>
                    </w:rPr>
                  </w:pPr>
                  <w:r w:rsidRPr="00636005">
                    <w:rPr>
                      <w:rFonts w:asciiTheme="minorHAnsi" w:eastAsiaTheme="minorHAnsi" w:hAnsiTheme="minorHAnsi" w:cs="Arial"/>
                      <w:bCs/>
                      <w:color w:val="000000"/>
                      <w:sz w:val="22"/>
                      <w:szCs w:val="22"/>
                    </w:rPr>
                    <w:t>(</w:t>
                  </w:r>
                  <w:r w:rsidRPr="00C16AFB">
                    <w:rPr>
                      <w:rFonts w:asciiTheme="minorHAnsi" w:eastAsiaTheme="minorHAnsi" w:hAnsiTheme="minorHAnsi" w:cs="Arial"/>
                      <w:bCs/>
                      <w:color w:val="000000"/>
                      <w:sz w:val="22"/>
                      <w:szCs w:val="22"/>
                    </w:rPr>
                    <w:t>SCN 2008, 9.26 - 9.27 - 9.28)</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lastRenderedPageBreak/>
                    <w:t xml:space="preserve">D.9r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recibidas</w:t>
                  </w:r>
                </w:p>
              </w:tc>
              <w:tc>
                <w:tcPr>
                  <w:tcW w:w="3528" w:type="pct"/>
                  <w:shd w:val="clear" w:color="auto" w:fill="FFFFFF" w:themeFill="background1"/>
                </w:tcPr>
                <w:p w:rsidR="000B3A7F" w:rsidRDefault="00D076DC"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sidR="009822CB">
                    <w:rPr>
                      <w:rFonts w:asciiTheme="minorHAnsi" w:hAnsiTheme="minorHAnsi"/>
                      <w:sz w:val="22"/>
                      <w:szCs w:val="22"/>
                    </w:rPr>
                    <w:t xml:space="preserve"> (SCN 2008, 10.204)</w:t>
                  </w:r>
                </w:p>
                <w:p w:rsidR="00D076DC" w:rsidRPr="0025612F" w:rsidRDefault="009822CB" w:rsidP="00E37032">
                  <w:pPr>
                    <w:spacing w:before="120" w:after="120"/>
                    <w:jc w:val="both"/>
                    <w:rPr>
                      <w:rFonts w:asciiTheme="minorHAnsi" w:hAnsiTheme="minorHAnsi"/>
                      <w:szCs w:val="22"/>
                    </w:rPr>
                  </w:pPr>
                  <w:r>
                    <w:rPr>
                      <w:rFonts w:asciiTheme="minorHAnsi" w:hAnsiTheme="minorHAnsi"/>
                      <w:sz w:val="22"/>
                      <w:szCs w:val="22"/>
                    </w:rPr>
                    <w:t>(…) l</w:t>
                  </w:r>
                  <w:r w:rsidR="00D076DC" w:rsidRPr="009822CB">
                    <w:rPr>
                      <w:rFonts w:asciiTheme="minorHAnsi" w:hAnsiTheme="minorHAnsi"/>
                      <w:sz w:val="22"/>
                      <w:szCs w:val="22"/>
                    </w:rPr>
                    <w:t>as</w:t>
                  </w:r>
                  <w:r w:rsidRPr="009822CB">
                    <w:rPr>
                      <w:rFonts w:asciiTheme="minorHAnsi" w:hAnsiTheme="minorHAnsi"/>
                      <w:sz w:val="22"/>
                      <w:szCs w:val="22"/>
                    </w:rPr>
                    <w:t xml:space="preserve"> </w:t>
                  </w:r>
                  <w:r w:rsidR="00D076DC" w:rsidRPr="009822CB">
                    <w:rPr>
                      <w:rFonts w:asciiTheme="minorHAnsi" w:hAnsiTheme="minorHAnsi"/>
                      <w:sz w:val="22"/>
                      <w:szCs w:val="22"/>
                    </w:rPr>
                    <w:t>transferencias de capital por cobrar y por pagar se</w:t>
                  </w:r>
                  <w:r w:rsidRPr="009822CB">
                    <w:rPr>
                      <w:rFonts w:asciiTheme="minorHAnsi" w:hAnsiTheme="minorHAnsi"/>
                      <w:sz w:val="22"/>
                      <w:szCs w:val="22"/>
                    </w:rPr>
                    <w:t xml:space="preserve"> </w:t>
                  </w:r>
                  <w:r w:rsidR="00D076DC" w:rsidRPr="009822CB">
                    <w:rPr>
                      <w:rFonts w:asciiTheme="minorHAnsi" w:hAnsiTheme="minorHAnsi"/>
                      <w:sz w:val="22"/>
                      <w:szCs w:val="22"/>
                    </w:rPr>
                    <w:t>cancelan entre sí en la misma forma en que lo hacen</w:t>
                  </w:r>
                  <w:r w:rsidRPr="009822CB">
                    <w:rPr>
                      <w:rFonts w:asciiTheme="minorHAnsi" w:hAnsiTheme="minorHAnsi"/>
                      <w:sz w:val="22"/>
                      <w:szCs w:val="22"/>
                    </w:rPr>
                    <w:t xml:space="preserve"> </w:t>
                  </w:r>
                  <w:r w:rsidR="00D076DC" w:rsidRPr="009822CB">
                    <w:rPr>
                      <w:rFonts w:asciiTheme="minorHAnsi" w:hAnsiTheme="minorHAnsi"/>
                      <w:sz w:val="22"/>
                      <w:szCs w:val="22"/>
                    </w:rPr>
                    <w:t>las rentas de la propiedad y las transferencias</w:t>
                  </w:r>
                  <w:r w:rsidRPr="009822CB">
                    <w:rPr>
                      <w:rFonts w:asciiTheme="minorHAnsi" w:hAnsiTheme="minorHAnsi"/>
                      <w:sz w:val="22"/>
                      <w:szCs w:val="22"/>
                    </w:rPr>
                    <w:t xml:space="preserve"> </w:t>
                  </w:r>
                  <w:r w:rsidR="00D076DC" w:rsidRPr="009822CB">
                    <w:rPr>
                      <w:rFonts w:asciiTheme="minorHAnsi" w:hAnsiTheme="minorHAnsi"/>
                      <w:sz w:val="22"/>
                      <w:szCs w:val="22"/>
                    </w:rPr>
                    <w:t>corrientes</w:t>
                  </w:r>
                  <w:r>
                    <w:rPr>
                      <w:rFonts w:asciiTheme="minorHAnsi" w:hAnsiTheme="minorHAnsi"/>
                      <w:sz w:val="22"/>
                      <w:szCs w:val="22"/>
                    </w:rPr>
                    <w:t>(…) (SCN 2008, 16.18)</w:t>
                  </w:r>
                  <w:r w:rsidR="00D076DC" w:rsidRPr="009822CB">
                    <w:rPr>
                      <w:rFonts w:asciiTheme="minorHAnsi" w:hAnsiTheme="minorHAnsi"/>
                      <w:sz w:val="22"/>
                      <w:szCs w:val="22"/>
                    </w:rPr>
                    <w:t xml:space="preserve"> </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 xml:space="preserve">D.9p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Transferencias de capital pagadas (-)</w:t>
                  </w:r>
                </w:p>
              </w:tc>
              <w:tc>
                <w:tcPr>
                  <w:tcW w:w="3528" w:type="pct"/>
                  <w:shd w:val="clear" w:color="auto" w:fill="FFFFFF" w:themeFill="background1"/>
                </w:tcPr>
                <w:p w:rsidR="00E37032" w:rsidRDefault="00E37032" w:rsidP="00E37032">
                  <w:pPr>
                    <w:spacing w:before="120" w:after="120"/>
                    <w:jc w:val="both"/>
                    <w:rPr>
                      <w:rFonts w:asciiTheme="minorHAnsi" w:hAnsiTheme="minorHAnsi"/>
                      <w:szCs w:val="22"/>
                    </w:rPr>
                  </w:pPr>
                  <w:r w:rsidRPr="00D076DC">
                    <w:rPr>
                      <w:rFonts w:asciiTheme="minorHAnsi" w:hAnsiTheme="minorHAnsi"/>
                      <w:sz w:val="22"/>
                      <w:szCs w:val="22"/>
                    </w:rPr>
                    <w:t>Una transferencia en especie implica necesariamente el cambio de propiedad de un producto previamente registrado como activo no financiero en las cuentas del donante.</w:t>
                  </w:r>
                  <w:r>
                    <w:rPr>
                      <w:rFonts w:asciiTheme="minorHAnsi" w:hAnsiTheme="minorHAnsi"/>
                      <w:sz w:val="22"/>
                      <w:szCs w:val="22"/>
                    </w:rPr>
                    <w:t xml:space="preserve"> (SCN 2008, 10.204)</w:t>
                  </w:r>
                </w:p>
                <w:p w:rsidR="000B3A7F" w:rsidRPr="0025612F" w:rsidRDefault="00E37032" w:rsidP="00E37032">
                  <w:pPr>
                    <w:spacing w:before="120" w:after="120"/>
                    <w:jc w:val="both"/>
                    <w:rPr>
                      <w:rFonts w:asciiTheme="minorHAnsi" w:hAnsiTheme="minorHAnsi"/>
                      <w:szCs w:val="22"/>
                    </w:rPr>
                  </w:pPr>
                  <w:r>
                    <w:rPr>
                      <w:rFonts w:asciiTheme="minorHAnsi" w:hAnsiTheme="minorHAnsi"/>
                      <w:sz w:val="22"/>
                      <w:szCs w:val="22"/>
                    </w:rPr>
                    <w:t>(…) l</w:t>
                  </w:r>
                  <w:r w:rsidRPr="009822CB">
                    <w:rPr>
                      <w:rFonts w:asciiTheme="minorHAnsi" w:hAnsiTheme="minorHAnsi"/>
                      <w:sz w:val="22"/>
                      <w:szCs w:val="22"/>
                    </w:rPr>
                    <w:t>as transferencias de capital por cobrar y por pagar se cancelan entre sí en la misma forma en que lo hacen las rentas de la propiedad y las transferencias corrientes</w:t>
                  </w:r>
                  <w:r>
                    <w:rPr>
                      <w:rFonts w:asciiTheme="minorHAnsi" w:hAnsiTheme="minorHAnsi"/>
                      <w:sz w:val="22"/>
                      <w:szCs w:val="22"/>
                    </w:rPr>
                    <w:t>(…) (SCN 2008, 16.18)</w:t>
                  </w:r>
                </w:p>
              </w:tc>
            </w:tr>
            <w:tr w:rsidR="000B3A7F" w:rsidRPr="0025612F" w:rsidTr="00983BC7">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P.51b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Formación bruta de capital fijo</w:t>
                  </w:r>
                </w:p>
              </w:tc>
              <w:tc>
                <w:tcPr>
                  <w:tcW w:w="3528" w:type="pct"/>
                  <w:shd w:val="clear" w:color="auto" w:fill="FFFFFF" w:themeFill="background1"/>
                </w:tcPr>
                <w:p w:rsidR="000B3A7F" w:rsidRPr="00983BC7" w:rsidRDefault="00983BC7" w:rsidP="00983BC7">
                  <w:pPr>
                    <w:spacing w:before="120" w:after="120"/>
                    <w:jc w:val="both"/>
                    <w:rPr>
                      <w:rFonts w:asciiTheme="minorHAnsi" w:hAnsiTheme="minorHAnsi"/>
                      <w:szCs w:val="22"/>
                    </w:rPr>
                  </w:pPr>
                  <w:r w:rsidRPr="00983BC7">
                    <w:rPr>
                      <w:rFonts w:asciiTheme="minorHAnsi" w:hAnsiTheme="minorHAnsi"/>
                      <w:sz w:val="22"/>
                      <w:szCs w:val="22"/>
                    </w:rPr>
                    <w:t>La formación bruta de capital fijo se mide por el valor total de las adquisiciones menos las disposiciones, de activos fijos efectuadas por el productor durante el período contable más ciertos gastos específicos en servicios que incrementan el valor de los activos no producidos.</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32</w:t>
                  </w:r>
                  <w:r w:rsidRPr="00B103A4">
                    <w:rPr>
                      <w:rFonts w:asciiTheme="minorHAnsi" w:hAnsiTheme="minorHAnsi"/>
                      <w:sz w:val="22"/>
                      <w:szCs w:val="22"/>
                    </w:rPr>
                    <w:t>)</w:t>
                  </w:r>
                </w:p>
              </w:tc>
            </w:tr>
            <w:tr w:rsidR="000B3A7F" w:rsidRPr="0025612F" w:rsidTr="0018477A">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P.51c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Consumo de capital fijo (-)</w:t>
                  </w:r>
                </w:p>
              </w:tc>
              <w:tc>
                <w:tcPr>
                  <w:tcW w:w="3528" w:type="pct"/>
                  <w:shd w:val="clear" w:color="auto" w:fill="FFFFFF" w:themeFill="background1"/>
                </w:tcPr>
                <w:p w:rsidR="000B3A7F" w:rsidRPr="0025612F" w:rsidRDefault="0018477A" w:rsidP="0018477A">
                  <w:pPr>
                    <w:spacing w:before="120" w:after="120"/>
                    <w:rPr>
                      <w:rFonts w:asciiTheme="minorHAnsi" w:hAnsiTheme="minorHAnsi"/>
                      <w:szCs w:val="22"/>
                    </w:rPr>
                  </w:pPr>
                  <w:r w:rsidRPr="00B103A4">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w:t>
                  </w:r>
                  <w:r w:rsidR="00D7232B" w:rsidRPr="00B103A4">
                    <w:rPr>
                      <w:rFonts w:asciiTheme="minorHAnsi" w:hAnsiTheme="minorHAnsi"/>
                      <w:sz w:val="22"/>
                      <w:szCs w:val="22"/>
                    </w:rPr>
                    <w:t xml:space="preserve"> (S</w:t>
                  </w:r>
                  <w:r w:rsidR="00A87C60" w:rsidRPr="00B103A4">
                    <w:rPr>
                      <w:rFonts w:asciiTheme="minorHAnsi" w:hAnsiTheme="minorHAnsi"/>
                      <w:sz w:val="22"/>
                      <w:szCs w:val="22"/>
                    </w:rPr>
                    <w:t>CN</w:t>
                  </w:r>
                  <w:r w:rsidR="00D7232B" w:rsidRPr="00B103A4">
                    <w:rPr>
                      <w:rFonts w:asciiTheme="minorHAnsi" w:hAnsiTheme="minorHAnsi"/>
                      <w:sz w:val="22"/>
                      <w:szCs w:val="22"/>
                    </w:rPr>
                    <w:t xml:space="preserve"> 2008</w:t>
                  </w:r>
                  <w:r w:rsidR="00A87C60" w:rsidRPr="00B103A4">
                    <w:rPr>
                      <w:rFonts w:asciiTheme="minorHAnsi" w:hAnsiTheme="minorHAnsi"/>
                      <w:sz w:val="22"/>
                      <w:szCs w:val="22"/>
                    </w:rPr>
                    <w:t>,</w:t>
                  </w:r>
                  <w:r w:rsidR="00D7232B" w:rsidRPr="00B103A4">
                    <w:rPr>
                      <w:rFonts w:asciiTheme="minorHAnsi" w:hAnsiTheme="minorHAnsi"/>
                      <w:sz w:val="22"/>
                      <w:szCs w:val="22"/>
                    </w:rPr>
                    <w:t xml:space="preserve"> 10.25)</w:t>
                  </w:r>
                </w:p>
              </w:tc>
            </w:tr>
            <w:tr w:rsidR="000B3A7F" w:rsidRPr="0025612F" w:rsidTr="0032294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P.52</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Variaciones de existencias</w:t>
                  </w:r>
                </w:p>
              </w:tc>
              <w:tc>
                <w:tcPr>
                  <w:tcW w:w="3528" w:type="pct"/>
                  <w:shd w:val="clear" w:color="auto" w:fill="FFFFFF" w:themeFill="background1"/>
                </w:tcPr>
                <w:p w:rsidR="000B3A7F" w:rsidRPr="0032294E" w:rsidRDefault="0032294E" w:rsidP="0032294E">
                  <w:pPr>
                    <w:spacing w:before="120" w:after="120"/>
                    <w:jc w:val="both"/>
                    <w:rPr>
                      <w:rFonts w:asciiTheme="minorHAnsi" w:hAnsiTheme="minorHAnsi"/>
                      <w:szCs w:val="22"/>
                    </w:rPr>
                  </w:pPr>
                  <w:r w:rsidRPr="0032294E">
                    <w:rPr>
                      <w:rFonts w:asciiTheme="minorHAnsi" w:hAnsiTheme="minorHAnsi"/>
                      <w:sz w:val="22"/>
                      <w:szCs w:val="22"/>
                      <w:lang w:val="es-EC"/>
                    </w:rPr>
                    <w:t xml:space="preserve">Las </w:t>
                  </w:r>
                  <w:r w:rsidRPr="0032294E">
                    <w:rPr>
                      <w:rFonts w:asciiTheme="minorHAnsi" w:hAnsiTheme="minorHAnsi"/>
                      <w:sz w:val="22"/>
                      <w:szCs w:val="22"/>
                    </w:rPr>
                    <w:t>variaciones de existencias, se miden por el valor de las entradas que ingresan en las existencias menos el valor de las salidas y el valor de cualquier pérdida ordinaria de bienes mantenidos en existencias durante el periodo contable.</w:t>
                  </w:r>
                  <w:r>
                    <w:rPr>
                      <w:rFonts w:asciiTheme="minorHAnsi" w:hAnsiTheme="minorHAnsi"/>
                      <w:sz w:val="22"/>
                      <w:szCs w:val="22"/>
                    </w:rPr>
                    <w:t xml:space="preserve"> </w:t>
                  </w:r>
                  <w:r w:rsidRPr="00B103A4">
                    <w:rPr>
                      <w:rFonts w:asciiTheme="minorHAnsi" w:hAnsiTheme="minorHAnsi"/>
                      <w:sz w:val="22"/>
                      <w:szCs w:val="22"/>
                    </w:rPr>
                    <w:t>(SCN 2008, 10.</w:t>
                  </w:r>
                  <w:r>
                    <w:rPr>
                      <w:rFonts w:asciiTheme="minorHAnsi" w:hAnsiTheme="minorHAnsi"/>
                      <w:sz w:val="22"/>
                      <w:szCs w:val="22"/>
                    </w:rPr>
                    <w:t>118</w:t>
                  </w:r>
                  <w:r w:rsidRPr="00B103A4">
                    <w:rPr>
                      <w:rFonts w:asciiTheme="minorHAnsi" w:hAnsiTheme="minorHAnsi"/>
                      <w:sz w:val="22"/>
                      <w:szCs w:val="22"/>
                    </w:rPr>
                    <w:t>)</w:t>
                  </w:r>
                </w:p>
              </w:tc>
            </w:tr>
            <w:tr w:rsidR="000B3A7F" w:rsidRPr="0025612F" w:rsidTr="004045C8">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lastRenderedPageBreak/>
                    <w:t xml:space="preserve">P.53 </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Adquisiciones menos disposiciones de objetos valiosos</w:t>
                  </w:r>
                </w:p>
              </w:tc>
              <w:tc>
                <w:tcPr>
                  <w:tcW w:w="3528" w:type="pct"/>
                  <w:shd w:val="clear" w:color="auto" w:fill="FFFFFF" w:themeFill="background1"/>
                </w:tcPr>
                <w:p w:rsidR="000B3A7F" w:rsidRPr="008125A1" w:rsidRDefault="00F75E8E" w:rsidP="008125A1">
                  <w:pPr>
                    <w:spacing w:before="120" w:after="120"/>
                    <w:jc w:val="both"/>
                    <w:rPr>
                      <w:rFonts w:asciiTheme="minorHAnsi" w:hAnsiTheme="minorHAnsi"/>
                      <w:szCs w:val="22"/>
                      <w:shd w:val="clear" w:color="auto" w:fill="FFFFFF" w:themeFill="background1"/>
                    </w:rPr>
                  </w:pPr>
                  <w:r w:rsidRPr="004045C8">
                    <w:rPr>
                      <w:rFonts w:asciiTheme="minorHAnsi" w:hAnsiTheme="minorHAnsi"/>
                      <w:sz w:val="22"/>
                      <w:szCs w:val="22"/>
                    </w:rPr>
                    <w:t xml:space="preserve">Los </w:t>
                  </w:r>
                  <w:r w:rsidRPr="004045C8">
                    <w:rPr>
                      <w:rFonts w:asciiTheme="minorHAnsi" w:hAnsiTheme="minorHAnsi"/>
                      <w:sz w:val="22"/>
                      <w:szCs w:val="22"/>
                      <w:shd w:val="clear" w:color="auto" w:fill="FFFFFF" w:themeFill="background1"/>
                    </w:rPr>
                    <w:t>objetos valiosos incluyen piedras y metales preciosos, antigüedades, otros objetos de arte y otros objetos valiosos. Sin embargo, no todas las partidas descritas por algunos de estos conceptos necesariamente deben incluirse como objetos valiosos en el balance del propiet</w:t>
                  </w:r>
                  <w:r w:rsidR="008125A1">
                    <w:rPr>
                      <w:rFonts w:asciiTheme="minorHAnsi" w:hAnsiTheme="minorHAnsi"/>
                      <w:sz w:val="22"/>
                      <w:szCs w:val="22"/>
                      <w:shd w:val="clear" w:color="auto" w:fill="FFFFFF" w:themeFill="background1"/>
                    </w:rPr>
                    <w:t>ario</w:t>
                  </w:r>
                  <w:r w:rsidR="004045C8" w:rsidRPr="004045C8">
                    <w:rPr>
                      <w:rFonts w:asciiTheme="minorHAnsi" w:hAnsiTheme="minorHAnsi"/>
                      <w:sz w:val="22"/>
                      <w:szCs w:val="22"/>
                    </w:rPr>
                    <w:t xml:space="preserve">. </w:t>
                  </w:r>
                  <w:r w:rsidR="004045C8" w:rsidRPr="00B103A4">
                    <w:rPr>
                      <w:rFonts w:asciiTheme="minorHAnsi" w:hAnsiTheme="minorHAnsi"/>
                      <w:sz w:val="22"/>
                      <w:szCs w:val="22"/>
                    </w:rPr>
                    <w:t>(SCN 2008, 10.</w:t>
                  </w:r>
                  <w:r w:rsidR="004045C8">
                    <w:rPr>
                      <w:rFonts w:asciiTheme="minorHAnsi" w:hAnsiTheme="minorHAnsi"/>
                      <w:sz w:val="22"/>
                      <w:szCs w:val="22"/>
                    </w:rPr>
                    <w:t>149</w:t>
                  </w:r>
                  <w:r w:rsidR="004045C8" w:rsidRPr="00B103A4">
                    <w:rPr>
                      <w:rFonts w:asciiTheme="minorHAnsi" w:hAnsiTheme="minorHAnsi"/>
                      <w:sz w:val="22"/>
                      <w:szCs w:val="22"/>
                    </w:rPr>
                    <w:t>)</w:t>
                  </w:r>
                </w:p>
              </w:tc>
            </w:tr>
            <w:tr w:rsidR="000B3A7F" w:rsidRPr="0025612F" w:rsidTr="006E11AE">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NP</w:t>
                  </w:r>
                </w:p>
              </w:tc>
              <w:tc>
                <w:tcPr>
                  <w:tcW w:w="972" w:type="pct"/>
                </w:tcPr>
                <w:p w:rsidR="000B3A7F" w:rsidRPr="0025612F" w:rsidRDefault="000B3A7F" w:rsidP="0025612F">
                  <w:pPr>
                    <w:spacing w:before="120" w:after="120"/>
                    <w:rPr>
                      <w:rFonts w:asciiTheme="minorHAnsi" w:hAnsiTheme="minorHAnsi" w:cs="Calibri"/>
                      <w:b/>
                      <w:szCs w:val="22"/>
                      <w:lang w:val="es-EC" w:eastAsia="es-EC"/>
                    </w:rPr>
                  </w:pPr>
                  <w:r w:rsidRPr="0025612F">
                    <w:rPr>
                      <w:rFonts w:asciiTheme="minorHAnsi" w:hAnsiTheme="minorHAnsi" w:cs="Calibri"/>
                      <w:b/>
                      <w:sz w:val="22"/>
                      <w:szCs w:val="22"/>
                      <w:lang w:val="es-EC" w:eastAsia="es-EC"/>
                    </w:rPr>
                    <w:t>Adquisición menos disposiciones de activos no financieros no producidos</w:t>
                  </w:r>
                </w:p>
              </w:tc>
              <w:tc>
                <w:tcPr>
                  <w:tcW w:w="3528" w:type="pct"/>
                  <w:shd w:val="clear" w:color="auto" w:fill="FFFFFF" w:themeFill="background1"/>
                </w:tcPr>
                <w:p w:rsidR="000B3A7F" w:rsidRPr="006C6235" w:rsidRDefault="00640E99" w:rsidP="00640E99">
                  <w:pPr>
                    <w:spacing w:before="120" w:after="120"/>
                    <w:jc w:val="both"/>
                    <w:rPr>
                      <w:rFonts w:asciiTheme="minorHAnsi" w:hAnsiTheme="minorHAnsi"/>
                      <w:szCs w:val="22"/>
                    </w:rPr>
                  </w:pPr>
                  <w:r>
                    <w:rPr>
                      <w:rFonts w:asciiTheme="minorHAnsi" w:hAnsiTheme="minorHAnsi"/>
                      <w:sz w:val="22"/>
                      <w:szCs w:val="22"/>
                      <w:lang w:val="es-EC"/>
                    </w:rPr>
                    <w:t xml:space="preserve">Existen </w:t>
                  </w:r>
                  <w:r w:rsidRPr="00640E99">
                    <w:rPr>
                      <w:rFonts w:asciiTheme="minorHAnsi" w:hAnsiTheme="minorHAnsi"/>
                      <w:sz w:val="22"/>
                      <w:szCs w:val="22"/>
                    </w:rPr>
                    <w:t xml:space="preserve">tres </w:t>
                  </w:r>
                  <w:r w:rsidRPr="006E11AE">
                    <w:rPr>
                      <w:rFonts w:asciiTheme="minorHAnsi" w:hAnsiTheme="minorHAnsi"/>
                      <w:sz w:val="22"/>
                      <w:szCs w:val="22"/>
                      <w:shd w:val="clear" w:color="auto" w:fill="FFFFFF" w:themeFill="background1"/>
                    </w:rPr>
                    <w:t>clases diferentes de otros activos no financieros no producidos: los recursos naturales, los contratos, arrendamientos y licencias, y los fondos de comercio y activos de comercialización. (SCN 2008, 10.164)</w:t>
                  </w:r>
                </w:p>
              </w:tc>
            </w:tr>
            <w:tr w:rsidR="000B3A7F" w:rsidRPr="0025612F" w:rsidTr="00E37032">
              <w:trPr>
                <w:trHeight w:val="156"/>
              </w:trPr>
              <w:tc>
                <w:tcPr>
                  <w:tcW w:w="500"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 xml:space="preserve">B.9 </w:t>
                  </w:r>
                </w:p>
              </w:tc>
              <w:tc>
                <w:tcPr>
                  <w:tcW w:w="972" w:type="pct"/>
                </w:tcPr>
                <w:p w:rsidR="000B3A7F" w:rsidRPr="0025612F" w:rsidRDefault="000B3A7F" w:rsidP="0025612F">
                  <w:pPr>
                    <w:spacing w:before="120" w:after="120"/>
                    <w:rPr>
                      <w:rFonts w:asciiTheme="minorHAnsi" w:hAnsiTheme="minorHAnsi" w:cs="Calibri"/>
                      <w:b/>
                      <w:bCs/>
                      <w:szCs w:val="22"/>
                      <w:lang w:val="es-EC" w:eastAsia="es-EC"/>
                    </w:rPr>
                  </w:pPr>
                  <w:r w:rsidRPr="0025612F">
                    <w:rPr>
                      <w:rFonts w:asciiTheme="minorHAnsi" w:hAnsiTheme="minorHAnsi" w:cs="Calibri"/>
                      <w:b/>
                      <w:bCs/>
                      <w:sz w:val="22"/>
                      <w:szCs w:val="22"/>
                      <w:lang w:val="es-EC" w:eastAsia="es-EC"/>
                    </w:rPr>
                    <w:t>Préstamo neto / endeudamiento neto</w:t>
                  </w:r>
                </w:p>
              </w:tc>
              <w:tc>
                <w:tcPr>
                  <w:tcW w:w="3528" w:type="pct"/>
                  <w:shd w:val="clear" w:color="auto" w:fill="FFFFFF" w:themeFill="background1"/>
                </w:tcPr>
                <w:p w:rsidR="000B3A7F" w:rsidRPr="0025612F" w:rsidRDefault="00E37032" w:rsidP="00E37032">
                  <w:pPr>
                    <w:spacing w:before="120" w:after="120"/>
                    <w:jc w:val="both"/>
                    <w:rPr>
                      <w:rFonts w:asciiTheme="minorHAnsi" w:hAnsiTheme="minorHAnsi"/>
                      <w:szCs w:val="22"/>
                    </w:rPr>
                  </w:pPr>
                  <w:r w:rsidRPr="00E37032">
                    <w:rPr>
                      <w:rFonts w:asciiTheme="minorHAnsi" w:hAnsiTheme="minorHAnsi"/>
                      <w:sz w:val="22"/>
                      <w:szCs w:val="22"/>
                    </w:rPr>
                    <w:t>Préstamo neto se define como la diferencia entre las variaciones del valor neto debidas al ahorro y a las transferencias de capital y las adquisiciones netas de activos no financieros (adquisiciones menos disposiciones de activos no financieros, menos el consumo de capital fijo). Si el monto es negativo, éste representa endeudamiento neto. (SCN 2008, 10.28)</w:t>
                  </w:r>
                </w:p>
              </w:tc>
            </w:tr>
          </w:tbl>
          <w:p w:rsidR="00D53653" w:rsidRPr="00410A0A" w:rsidRDefault="00D53653" w:rsidP="009036BF">
            <w:pPr>
              <w:jc w:val="both"/>
              <w:rPr>
                <w:rFonts w:asciiTheme="minorHAnsi" w:hAnsiTheme="minorHAnsi" w:cs="Arial"/>
                <w:szCs w:val="22"/>
              </w:rPr>
            </w:pPr>
          </w:p>
        </w:tc>
      </w:tr>
      <w:tr w:rsidR="00D53653" w:rsidRPr="00080CCB" w:rsidTr="007E7852">
        <w:trPr>
          <w:jc w:val="center"/>
        </w:trPr>
        <w:tc>
          <w:tcPr>
            <w:tcW w:w="9054" w:type="dxa"/>
            <w:gridSpan w:val="4"/>
            <w:shd w:val="clear" w:color="auto" w:fill="DBE5F1"/>
            <w:vAlign w:val="center"/>
          </w:tcPr>
          <w:p w:rsidR="00D53653" w:rsidRPr="00410A0A" w:rsidRDefault="00D53653"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6. METODOLOGÍA DE CÁLCULO</w:t>
            </w:r>
          </w:p>
        </w:tc>
      </w:tr>
      <w:tr w:rsidR="00D53653" w:rsidRPr="00080CCB" w:rsidTr="000966EA">
        <w:trPr>
          <w:jc w:val="center"/>
        </w:trPr>
        <w:tc>
          <w:tcPr>
            <w:tcW w:w="9054" w:type="dxa"/>
            <w:gridSpan w:val="4"/>
            <w:shd w:val="clear" w:color="auto" w:fill="auto"/>
            <w:vAlign w:val="center"/>
          </w:tcPr>
          <w:p w:rsidR="00D107FD" w:rsidRPr="006C2A67" w:rsidRDefault="006C2A67" w:rsidP="00CB4DD9">
            <w:pPr>
              <w:spacing w:before="120" w:after="120"/>
              <w:rPr>
                <w:rFonts w:cs="Arial"/>
                <w:bCs/>
                <w:color w:val="000000"/>
                <w:lang w:val="es-EC"/>
              </w:rPr>
            </w:pPr>
            <w:r w:rsidRPr="00260AA0">
              <w:rPr>
                <w:rFonts w:asciiTheme="minorHAnsi" w:eastAsiaTheme="minorHAnsi" w:hAnsiTheme="minorHAnsi" w:cs="Arial"/>
                <w:bCs/>
                <w:color w:val="000000"/>
                <w:szCs w:val="22"/>
              </w:rPr>
              <w:t>A</w:t>
            </w:r>
            <w:r w:rsidRPr="006C3CAD">
              <w:rPr>
                <w:rFonts w:asciiTheme="minorHAnsi" w:eastAsiaTheme="minorHAnsi" w:hAnsiTheme="minorHAnsi" w:cs="Arial"/>
                <w:bCs/>
                <w:color w:val="000000"/>
                <w:szCs w:val="22"/>
              </w:rPr>
              <w:t xml:space="preserve"> continuación se detalla el método de cálculo de la Cuenta</w:t>
            </w:r>
            <w:r w:rsidRPr="006C3CAD">
              <w:rPr>
                <w:rFonts w:asciiTheme="minorHAnsi" w:eastAsiaTheme="minorHAnsi" w:hAnsiTheme="minorHAnsi" w:cs="Arial"/>
                <w:bCs/>
                <w:color w:val="000000"/>
                <w:szCs w:val="22"/>
                <w:lang w:val="es-EC"/>
              </w:rPr>
              <w:t xml:space="preserve"> generación del ingreso, tanto para los recursos y los empleos:</w:t>
            </w: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PASIVOS</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BB0EEC">
              <w:rPr>
                <w:rFonts w:asciiTheme="minorHAnsi" w:eastAsiaTheme="minorHAnsi" w:hAnsiTheme="minorHAnsi" w:cs="Arial"/>
                <w:b/>
                <w:bCs/>
                <w:color w:val="000000"/>
                <w:szCs w:val="22"/>
                <w:lang w:val="es-EC"/>
              </w:rPr>
              <w:t xml:space="preserve">B.8n </w:t>
            </w:r>
            <w:r>
              <w:rPr>
                <w:rFonts w:asciiTheme="minorHAnsi" w:eastAsiaTheme="minorHAnsi" w:hAnsiTheme="minorHAnsi" w:cs="Arial"/>
                <w:b/>
                <w:bCs/>
                <w:color w:val="000000"/>
                <w:szCs w:val="22"/>
                <w:lang w:val="es-EC"/>
              </w:rPr>
              <w:t xml:space="preserve"> </w:t>
            </w:r>
            <w:r w:rsidRPr="00BB0EEC">
              <w:rPr>
                <w:rFonts w:asciiTheme="minorHAnsi" w:eastAsiaTheme="minorHAnsi" w:hAnsiTheme="minorHAnsi" w:cs="Arial"/>
                <w:b/>
                <w:bCs/>
                <w:color w:val="000000"/>
                <w:szCs w:val="22"/>
                <w:lang w:val="es-EC"/>
              </w:rPr>
              <w:t>Ahorro neto</w:t>
            </w:r>
          </w:p>
        </w:tc>
      </w:tr>
      <w:tr w:rsidR="004C708F" w:rsidRPr="00080CCB" w:rsidTr="004C708F">
        <w:trPr>
          <w:jc w:val="center"/>
        </w:trPr>
        <w:tc>
          <w:tcPr>
            <w:tcW w:w="9054" w:type="dxa"/>
            <w:gridSpan w:val="4"/>
            <w:shd w:val="clear" w:color="auto" w:fill="auto"/>
            <w:vAlign w:val="center"/>
          </w:tcPr>
          <w:p w:rsidR="00A42298" w:rsidRDefault="00A42298" w:rsidP="00A42298">
            <w:pPr>
              <w:widowControl w:val="0"/>
              <w:autoSpaceDE w:val="0"/>
              <w:autoSpaceDN w:val="0"/>
              <w:adjustRightInd w:val="0"/>
              <w:spacing w:before="120" w:after="120" w:line="276" w:lineRule="auto"/>
              <w:ind w:right="68"/>
              <w:rPr>
                <w:rFonts w:asciiTheme="minorHAnsi" w:hAnsiTheme="minorHAnsi" w:cs="Tahoma"/>
                <w:iCs/>
                <w:color w:val="000000"/>
                <w:position w:val="-1"/>
                <w:szCs w:val="22"/>
              </w:rPr>
            </w:pPr>
            <w:r>
              <w:rPr>
                <w:rFonts w:asciiTheme="minorHAnsi" w:hAnsiTheme="minorHAnsi" w:cs="Tahoma"/>
                <w:iCs/>
                <w:color w:val="000000"/>
                <w:position w:val="-1"/>
                <w:szCs w:val="22"/>
              </w:rPr>
              <w:t>Esta variable es la contrapartida de la II.4.1. Cuenta de Utilización del Ingreso Disponible por parte de los empleos</w:t>
            </w:r>
          </w:p>
          <w:p w:rsidR="004C708F" w:rsidRDefault="00A42298" w:rsidP="008058C3">
            <w:pPr>
              <w:spacing w:before="120" w:after="120"/>
              <w:rPr>
                <w:rFonts w:asciiTheme="minorHAnsi" w:hAnsiTheme="minorHAnsi" w:cs="Tahoma"/>
                <w:iCs/>
                <w:color w:val="000000"/>
                <w:position w:val="-1"/>
                <w:szCs w:val="22"/>
              </w:rPr>
            </w:pPr>
            <w:r>
              <w:rPr>
                <w:rFonts w:asciiTheme="minorHAnsi" w:hAnsiTheme="minorHAnsi" w:cs="Tahoma"/>
                <w:iCs/>
                <w:color w:val="000000"/>
                <w:position w:val="-1"/>
                <w:szCs w:val="22"/>
              </w:rPr>
              <w:t xml:space="preserve">B.8n </w:t>
            </w:r>
            <w:r w:rsidRPr="00A42298">
              <w:rPr>
                <w:rFonts w:asciiTheme="minorHAnsi" w:hAnsiTheme="minorHAnsi" w:cs="Tahoma"/>
                <w:iCs/>
                <w:color w:val="000000"/>
                <w:position w:val="-1"/>
                <w:szCs w:val="22"/>
              </w:rPr>
              <w:t>Ahorro neto</w:t>
            </w:r>
            <w:r>
              <w:rPr>
                <w:rFonts w:asciiTheme="minorHAnsi" w:hAnsiTheme="minorHAnsi" w:cs="Tahoma"/>
                <w:iCs/>
                <w:color w:val="000000"/>
                <w:position w:val="-1"/>
                <w:szCs w:val="22"/>
              </w:rPr>
              <w:t xml:space="preserve"> = </w:t>
            </w:r>
            <w:r w:rsidR="008058C3">
              <w:rPr>
                <w:rFonts w:asciiTheme="minorHAnsi" w:hAnsiTheme="minorHAnsi" w:cs="Tahoma"/>
                <w:iCs/>
                <w:color w:val="000000"/>
                <w:position w:val="-1"/>
                <w:szCs w:val="22"/>
              </w:rPr>
              <w:t>294.162</w:t>
            </w:r>
          </w:p>
          <w:p w:rsidR="00CB4DD9" w:rsidRPr="00A42298" w:rsidRDefault="00CB4DD9" w:rsidP="008058C3">
            <w:pPr>
              <w:spacing w:before="120" w:after="120"/>
              <w:rPr>
                <w:rFonts w:asciiTheme="minorHAnsi" w:eastAsiaTheme="minorHAnsi" w:hAnsiTheme="minorHAnsi" w:cs="Arial"/>
                <w:b/>
                <w:bCs/>
                <w:color w:val="000000"/>
                <w:szCs w:val="22"/>
              </w:rPr>
            </w:pP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D.9r</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recibidas</w:t>
            </w:r>
          </w:p>
        </w:tc>
      </w:tr>
      <w:tr w:rsidR="004C708F" w:rsidRPr="00080CCB" w:rsidTr="004C708F">
        <w:trPr>
          <w:jc w:val="center"/>
        </w:trPr>
        <w:tc>
          <w:tcPr>
            <w:tcW w:w="9054" w:type="dxa"/>
            <w:gridSpan w:val="4"/>
            <w:shd w:val="clear" w:color="auto" w:fill="auto"/>
            <w:vAlign w:val="center"/>
          </w:tcPr>
          <w:p w:rsidR="004C708F" w:rsidRDefault="006C2A67"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No aplica</w:t>
            </w:r>
          </w:p>
          <w:p w:rsidR="00CB4DD9" w:rsidRPr="008020C1" w:rsidRDefault="00CB4DD9" w:rsidP="000E5BF3">
            <w:pPr>
              <w:spacing w:before="120" w:after="120"/>
              <w:jc w:val="both"/>
              <w:rPr>
                <w:rFonts w:asciiTheme="minorHAnsi" w:eastAsiaTheme="minorHAnsi" w:hAnsiTheme="minorHAnsi" w:cs="Arial"/>
                <w:bCs/>
                <w:color w:val="000000"/>
                <w:szCs w:val="22"/>
                <w:lang w:val="es-EC"/>
              </w:rPr>
            </w:pP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lastRenderedPageBreak/>
              <w:t xml:space="preserve">D.9p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Transferencias de capital pagadas (-)</w:t>
            </w:r>
          </w:p>
        </w:tc>
      </w:tr>
      <w:tr w:rsidR="004C708F" w:rsidRPr="00080CCB" w:rsidTr="004C708F">
        <w:trPr>
          <w:jc w:val="center"/>
        </w:trPr>
        <w:tc>
          <w:tcPr>
            <w:tcW w:w="9054" w:type="dxa"/>
            <w:gridSpan w:val="4"/>
            <w:shd w:val="clear" w:color="auto" w:fill="auto"/>
            <w:vAlign w:val="center"/>
          </w:tcPr>
          <w:p w:rsidR="004C708F" w:rsidRPr="008020C1" w:rsidRDefault="006C2A67" w:rsidP="000E5BF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No aplica</w:t>
            </w:r>
          </w:p>
        </w:tc>
      </w:tr>
      <w:tr w:rsidR="004C708F" w:rsidRPr="00080CCB" w:rsidTr="007E7852">
        <w:trPr>
          <w:jc w:val="center"/>
        </w:trPr>
        <w:tc>
          <w:tcPr>
            <w:tcW w:w="9054" w:type="dxa"/>
            <w:gridSpan w:val="4"/>
            <w:shd w:val="clear" w:color="auto" w:fill="DBE5F1"/>
            <w:vAlign w:val="center"/>
          </w:tcPr>
          <w:p w:rsidR="004C708F" w:rsidRPr="00DC5743" w:rsidRDefault="004C708F" w:rsidP="004919A3">
            <w:pPr>
              <w:spacing w:before="120" w:after="120"/>
              <w:jc w:val="both"/>
              <w:rPr>
                <w:rFonts w:asciiTheme="minorHAnsi" w:eastAsiaTheme="minorHAnsi" w:hAnsiTheme="minorHAnsi" w:cs="Arial"/>
                <w:b/>
                <w:bCs/>
                <w:color w:val="000000"/>
                <w:szCs w:val="22"/>
                <w:u w:val="single"/>
                <w:lang w:val="es-EC"/>
              </w:rPr>
            </w:pPr>
            <w:r w:rsidRPr="00DC5743">
              <w:rPr>
                <w:rFonts w:asciiTheme="minorHAnsi" w:eastAsiaTheme="minorHAnsi" w:hAnsiTheme="minorHAnsi" w:cs="Arial"/>
                <w:b/>
                <w:bCs/>
                <w:color w:val="000000"/>
                <w:szCs w:val="22"/>
                <w:u w:val="single"/>
                <w:lang w:val="es-EC"/>
              </w:rPr>
              <w:t>VARIACIÓN DE ACTIVOS</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P.51b</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Formación bruta de capital fijo</w:t>
            </w:r>
          </w:p>
        </w:tc>
      </w:tr>
      <w:tr w:rsidR="004C708F" w:rsidRPr="00080CCB" w:rsidTr="004C708F">
        <w:trPr>
          <w:jc w:val="center"/>
        </w:trPr>
        <w:tc>
          <w:tcPr>
            <w:tcW w:w="9054" w:type="dxa"/>
            <w:gridSpan w:val="4"/>
            <w:shd w:val="clear" w:color="auto" w:fill="auto"/>
            <w:vAlign w:val="center"/>
          </w:tcPr>
          <w:p w:rsidR="001E781F" w:rsidRPr="008A6062" w:rsidRDefault="001E781F" w:rsidP="001E781F">
            <w:pPr>
              <w:spacing w:before="120" w:after="120"/>
              <w:rPr>
                <w:color w:val="000000"/>
                <w:szCs w:val="22"/>
              </w:rPr>
            </w:pPr>
            <w:r>
              <w:rPr>
                <w:color w:val="000000"/>
                <w:szCs w:val="22"/>
              </w:rPr>
              <w:t>Esta variable se calcula de la siguiente manera:</w:t>
            </w:r>
          </w:p>
          <w:p w:rsidR="001E781F" w:rsidRPr="001E781F" w:rsidRDefault="001E781F" w:rsidP="001E781F">
            <w:pPr>
              <w:shd w:val="clear" w:color="auto" w:fill="FFFFFF" w:themeFill="background1"/>
              <w:spacing w:before="120" w:after="120"/>
              <w:jc w:val="center"/>
              <w:rPr>
                <w:sz w:val="20"/>
                <w:szCs w:val="22"/>
                <w:lang w:val="es-PE"/>
              </w:rPr>
            </w:pPr>
            <m:oMathPara>
              <m:oMathParaPr>
                <m:jc m:val="left"/>
              </m:oMathParaPr>
              <m:oMath>
                <m:r>
                  <w:rPr>
                    <w:rFonts w:ascii="Cambria Math" w:hAnsi="Cambria Math" w:cs="Arial"/>
                    <w:sz w:val="20"/>
                    <w:szCs w:val="22"/>
                    <w:lang w:val="es-PE"/>
                  </w:rPr>
                  <m:t>P.51b=(</m:t>
                </m:r>
                <m:d>
                  <m:dPr>
                    <m:ctrlPr>
                      <w:rPr>
                        <w:rFonts w:ascii="Cambria Math" w:hAnsi="Cambria Math" w:cs="Arial"/>
                        <w:i/>
                        <w:sz w:val="20"/>
                        <w:szCs w:val="22"/>
                        <w:lang w:val="es-PE"/>
                      </w:rPr>
                    </m:ctrlPr>
                  </m:dPr>
                  <m:e>
                    <m:r>
                      <w:rPr>
                        <w:rFonts w:ascii="Cambria Math" w:hAnsi="Cambria Math" w:cs="Arial"/>
                        <w:sz w:val="20"/>
                        <w:szCs w:val="22"/>
                        <w:lang w:val="es-PE"/>
                      </w:rPr>
                      <m:t>P.51 n-1</m:t>
                    </m:r>
                  </m:e>
                </m:d>
                <m:r>
                  <w:rPr>
                    <w:rFonts w:ascii="Cambria Math" w:hAnsi="Cambria Math" w:cs="Arial"/>
                    <w:sz w:val="20"/>
                    <w:szCs w:val="22"/>
                    <w:lang w:val="es-PE"/>
                  </w:rPr>
                  <m:t xml:space="preserve">*(P.1  n/ P.1 n-1)  </m:t>
                </m:r>
              </m:oMath>
            </m:oMathPara>
          </w:p>
          <w:p w:rsidR="001E781F" w:rsidRPr="001E781F" w:rsidRDefault="001E781F" w:rsidP="001E781F">
            <w:pPr>
              <w:shd w:val="clear" w:color="auto" w:fill="FFFFFF" w:themeFill="background1"/>
              <w:spacing w:before="120" w:after="120"/>
              <w:jc w:val="center"/>
              <w:rPr>
                <w:sz w:val="20"/>
                <w:szCs w:val="22"/>
                <w:lang w:val="es-PE"/>
              </w:rPr>
            </w:pPr>
            <m:oMathPara>
              <m:oMathParaPr>
                <m:jc m:val="left"/>
              </m:oMathParaPr>
              <m:oMath>
                <m:r>
                  <w:rPr>
                    <w:rFonts w:ascii="Cambria Math" w:hAnsi="Cambria Math" w:cs="Arial"/>
                    <w:sz w:val="20"/>
                    <w:szCs w:val="22"/>
                    <w:lang w:val="es-PE"/>
                  </w:rPr>
                  <m:t>P.51b=(</m:t>
                </m:r>
                <m:d>
                  <m:dPr>
                    <m:ctrlPr>
                      <w:rPr>
                        <w:rFonts w:ascii="Cambria Math" w:hAnsi="Cambria Math" w:cs="Arial"/>
                        <w:i/>
                        <w:sz w:val="20"/>
                        <w:szCs w:val="22"/>
                        <w:lang w:val="es-PE"/>
                      </w:rPr>
                    </m:ctrlPr>
                  </m:dPr>
                  <m:e>
                    <m:r>
                      <m:rPr>
                        <m:sty m:val="p"/>
                      </m:rPr>
                      <w:rPr>
                        <w:rFonts w:ascii="Cambria Math" w:eastAsiaTheme="minorHAnsi" w:hAnsi="Cambria Math" w:cs="Arial"/>
                        <w:color w:val="000000"/>
                        <w:szCs w:val="22"/>
                        <w:lang w:val="es-EC"/>
                      </w:rPr>
                      <m:t>Formación bruta de capital fijo 2010</m:t>
                    </m:r>
                  </m:e>
                </m:d>
                <m:r>
                  <w:rPr>
                    <w:rFonts w:ascii="Cambria Math" w:hAnsi="Cambria Math" w:cs="Arial"/>
                    <w:sz w:val="20"/>
                    <w:szCs w:val="22"/>
                    <w:lang w:val="es-PE"/>
                  </w:rPr>
                  <m:t>*(</m:t>
                </m:r>
                <m:r>
                  <m:rPr>
                    <m:sty m:val="p"/>
                  </m:rPr>
                  <w:rPr>
                    <w:rFonts w:ascii="Cambria Math" w:eastAsiaTheme="minorHAnsi" w:hAnsi="Cambria Math" w:cs="Arial"/>
                    <w:color w:val="000000"/>
                    <w:szCs w:val="22"/>
                    <w:lang w:val="es-EC"/>
                  </w:rPr>
                  <m:t>Producción Total 2011</m:t>
                </m:r>
                <m:r>
                  <w:rPr>
                    <w:rFonts w:ascii="Cambria Math" w:hAnsi="Cambria Math" w:cs="Arial"/>
                    <w:sz w:val="20"/>
                    <w:szCs w:val="22"/>
                    <w:lang w:val="es-PE"/>
                  </w:rPr>
                  <m:t>/</m:t>
                </m:r>
                <m:r>
                  <m:rPr>
                    <m:sty m:val="p"/>
                  </m:rPr>
                  <w:rPr>
                    <w:rFonts w:ascii="Cambria Math" w:eastAsiaTheme="minorHAnsi" w:hAnsi="Cambria Math" w:cs="Arial"/>
                    <w:color w:val="000000"/>
                    <w:szCs w:val="22"/>
                    <w:lang w:val="es-EC"/>
                  </w:rPr>
                  <m:t>Producción Total 2010</m:t>
                </m:r>
                <m:r>
                  <w:rPr>
                    <w:rFonts w:ascii="Cambria Math" w:hAnsi="Cambria Math" w:cs="Arial"/>
                    <w:sz w:val="20"/>
                    <w:szCs w:val="22"/>
                    <w:lang w:val="es-PE"/>
                  </w:rPr>
                  <m:t xml:space="preserve">)  </m:t>
                </m:r>
              </m:oMath>
            </m:oMathPara>
          </w:p>
          <w:p w:rsidR="001E781F" w:rsidRPr="001E781F" w:rsidRDefault="001E781F" w:rsidP="001E781F">
            <w:pPr>
              <w:shd w:val="clear" w:color="auto" w:fill="FFFFFF" w:themeFill="background1"/>
              <w:spacing w:before="120" w:after="120"/>
              <w:jc w:val="center"/>
              <w:rPr>
                <w:rFonts w:ascii="Cambria Math" w:hAnsi="Cambria Math" w:cs="Arial"/>
                <w:sz w:val="20"/>
                <w:szCs w:val="22"/>
                <w:lang w:val="es-PE"/>
              </w:rPr>
            </w:pPr>
            <m:oMathPara>
              <m:oMathParaPr>
                <m:jc m:val="left"/>
              </m:oMathParaPr>
              <m:oMath>
                <m:r>
                  <w:rPr>
                    <w:rFonts w:ascii="Cambria Math" w:hAnsi="Cambria Math" w:cs="Arial"/>
                    <w:sz w:val="20"/>
                    <w:szCs w:val="22"/>
                    <w:lang w:val="es-PE"/>
                  </w:rPr>
                  <m:t>P.51b=</m:t>
                </m:r>
                <m:d>
                  <m:dPr>
                    <m:ctrlPr>
                      <w:rPr>
                        <w:rFonts w:ascii="Cambria Math" w:hAnsi="Cambria Math" w:cs="Arial"/>
                        <w:i/>
                        <w:sz w:val="20"/>
                        <w:szCs w:val="22"/>
                        <w:lang w:val="es-PE"/>
                      </w:rPr>
                    </m:ctrlPr>
                  </m:dPr>
                  <m:e>
                    <m:r>
                      <w:rPr>
                        <w:rFonts w:ascii="Cambria Math" w:hAnsi="Cambria Math" w:cs="Arial"/>
                        <w:sz w:val="20"/>
                        <w:szCs w:val="22"/>
                        <w:lang w:val="es-PE"/>
                      </w:rPr>
                      <m:t>11.415</m:t>
                    </m:r>
                  </m:e>
                </m:d>
                <m:r>
                  <w:rPr>
                    <w:rFonts w:ascii="Cambria Math" w:hAnsi="Cambria Math" w:cs="Arial"/>
                    <w:sz w:val="20"/>
                    <w:szCs w:val="22"/>
                    <w:lang w:val="es-PE"/>
                  </w:rPr>
                  <m:t xml:space="preserve">*(447.299/325.924)  </m:t>
                </m:r>
              </m:oMath>
            </m:oMathPara>
          </w:p>
          <w:p w:rsidR="001E781F" w:rsidRPr="001E781F" w:rsidRDefault="001E781F" w:rsidP="001E781F">
            <w:pPr>
              <w:shd w:val="clear" w:color="auto" w:fill="FFFFFF" w:themeFill="background1"/>
              <w:spacing w:before="120" w:after="120"/>
              <w:rPr>
                <w:rFonts w:ascii="Cambria Math" w:hAnsi="Cambria Math" w:cs="Arial"/>
                <w:sz w:val="20"/>
                <w:szCs w:val="22"/>
                <w:lang w:val="es-PE"/>
              </w:rPr>
            </w:pPr>
            <m:oMath>
              <m:r>
                <m:rPr>
                  <m:sty m:val="p"/>
                </m:rPr>
                <w:rPr>
                  <w:rFonts w:ascii="Cambria Math" w:hAnsi="Cambria Math" w:cs="Arial"/>
                  <w:sz w:val="20"/>
                  <w:szCs w:val="22"/>
                  <w:lang w:val="es-PE"/>
                </w:rPr>
                <m:t xml:space="preserve">P.51b=11.415* </m:t>
              </m:r>
            </m:oMath>
            <w:r w:rsidRPr="001E781F">
              <w:rPr>
                <w:rFonts w:ascii="Cambria Math" w:hAnsi="Cambria Math" w:cs="Arial"/>
                <w:sz w:val="20"/>
                <w:szCs w:val="22"/>
                <w:lang w:val="es-PE"/>
              </w:rPr>
              <w:t>1,37240277</w:t>
            </w:r>
          </w:p>
          <w:p w:rsidR="00D914BC" w:rsidRPr="006C2A67" w:rsidRDefault="00CC7FC9" w:rsidP="006C2A67">
            <w:pPr>
              <w:shd w:val="clear" w:color="auto" w:fill="FFFFFF" w:themeFill="background1"/>
              <w:spacing w:before="120" w:after="120"/>
              <w:jc w:val="center"/>
              <w:rPr>
                <w:sz w:val="20"/>
                <w:szCs w:val="22"/>
                <w:lang w:val="es-PE"/>
              </w:rPr>
            </w:pPr>
            <m:oMathPara>
              <m:oMathParaPr>
                <m:jc m:val="left"/>
              </m:oMathParaPr>
              <m:oMath>
                <m:r>
                  <w:rPr>
                    <w:rFonts w:ascii="Cambria Math" w:hAnsi="Cambria Math" w:cs="Arial"/>
                    <w:sz w:val="20"/>
                    <w:szCs w:val="22"/>
                    <w:lang w:val="es-PE"/>
                  </w:rPr>
                  <m:t>P</m:t>
                </m:r>
                <m:r>
                  <m:rPr>
                    <m:sty m:val="p"/>
                  </m:rPr>
                  <w:rPr>
                    <w:rFonts w:ascii="Cambria Math" w:hAnsi="Cambria Math" w:cs="Arial"/>
                    <w:sz w:val="20"/>
                    <w:szCs w:val="22"/>
                    <w:lang w:val="es-PE"/>
                  </w:rPr>
                  <m:t>.51</m:t>
                </m:r>
                <m:r>
                  <w:rPr>
                    <w:rFonts w:ascii="Cambria Math" w:hAnsi="Cambria Math" w:cs="Arial"/>
                    <w:sz w:val="20"/>
                    <w:szCs w:val="22"/>
                    <w:lang w:val="es-PE"/>
                  </w:rPr>
                  <m:t>b</m:t>
                </m:r>
                <m:r>
                  <m:rPr>
                    <m:sty m:val="p"/>
                  </m:rPr>
                  <w:rPr>
                    <w:rFonts w:ascii="Cambria Math" w:hAnsi="Cambria Math" w:cs="Arial"/>
                    <w:sz w:val="20"/>
                    <w:szCs w:val="22"/>
                    <w:lang w:val="es-PE"/>
                  </w:rPr>
                  <m:t>=15.666</m:t>
                </m:r>
              </m:oMath>
            </m:oMathPara>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P.5</w:t>
            </w:r>
            <w:r>
              <w:rPr>
                <w:rFonts w:asciiTheme="minorHAnsi" w:eastAsiaTheme="minorHAnsi" w:hAnsiTheme="minorHAnsi" w:cs="Arial"/>
                <w:b/>
                <w:bCs/>
                <w:color w:val="000000"/>
                <w:szCs w:val="22"/>
                <w:lang w:val="es-EC"/>
              </w:rPr>
              <w:t>1c  Consumo de capital fijo (-)</w:t>
            </w:r>
          </w:p>
        </w:tc>
      </w:tr>
      <w:tr w:rsidR="004C708F" w:rsidRPr="00080CCB" w:rsidTr="00A815F6">
        <w:trPr>
          <w:jc w:val="center"/>
        </w:trPr>
        <w:tc>
          <w:tcPr>
            <w:tcW w:w="9054" w:type="dxa"/>
            <w:gridSpan w:val="4"/>
            <w:shd w:val="clear" w:color="auto" w:fill="auto"/>
            <w:vAlign w:val="center"/>
          </w:tcPr>
          <w:p w:rsidR="00FD6058" w:rsidRDefault="00FD6058"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 xml:space="preserve">El valor del Consumo de capital fijo proviene la cuenta </w:t>
            </w:r>
            <w:r w:rsidRPr="00D21358">
              <w:rPr>
                <w:rFonts w:asciiTheme="minorHAnsi" w:eastAsiaTheme="minorHAnsi" w:hAnsiTheme="minorHAnsi" w:cs="Arial"/>
                <w:bCs/>
                <w:color w:val="000000"/>
                <w:szCs w:val="22"/>
                <w:lang w:val="es-EC"/>
              </w:rPr>
              <w:t>I. CUENTA DE PRODUCCIÓN</w:t>
            </w:r>
          </w:p>
          <w:p w:rsidR="004C708F" w:rsidRPr="008020C1" w:rsidRDefault="00FD1691" w:rsidP="00FD6058">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P.51c = 11.490</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P.52  Variaciones de existencias</w:t>
            </w:r>
          </w:p>
        </w:tc>
      </w:tr>
      <w:tr w:rsidR="004C708F" w:rsidRPr="00080CCB" w:rsidTr="00A815F6">
        <w:trPr>
          <w:jc w:val="center"/>
        </w:trPr>
        <w:tc>
          <w:tcPr>
            <w:tcW w:w="9054" w:type="dxa"/>
            <w:gridSpan w:val="4"/>
            <w:shd w:val="clear" w:color="auto" w:fill="auto"/>
            <w:vAlign w:val="center"/>
          </w:tcPr>
          <w:p w:rsidR="006F3C76" w:rsidRPr="006F3C76" w:rsidRDefault="006C2A67"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4C708F" w:rsidRPr="00080CCB" w:rsidTr="007E7852">
        <w:trPr>
          <w:jc w:val="center"/>
        </w:trPr>
        <w:tc>
          <w:tcPr>
            <w:tcW w:w="9054" w:type="dxa"/>
            <w:gridSpan w:val="4"/>
            <w:shd w:val="clear" w:color="auto" w:fill="DBE5F1"/>
            <w:vAlign w:val="center"/>
          </w:tcPr>
          <w:p w:rsidR="004C708F" w:rsidRPr="00410A0A"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 xml:space="preserve">P.53 </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Adquisiciones menos di</w:t>
            </w:r>
            <w:r>
              <w:rPr>
                <w:rFonts w:asciiTheme="minorHAnsi" w:eastAsiaTheme="minorHAnsi" w:hAnsiTheme="minorHAnsi" w:cs="Arial"/>
                <w:b/>
                <w:bCs/>
                <w:color w:val="000000"/>
                <w:szCs w:val="22"/>
                <w:lang w:val="es-EC"/>
              </w:rPr>
              <w:t>sposiciones de objetos valiosos</w:t>
            </w:r>
          </w:p>
        </w:tc>
      </w:tr>
      <w:tr w:rsidR="004C708F" w:rsidRPr="00080CCB" w:rsidTr="00A815F6">
        <w:trPr>
          <w:jc w:val="center"/>
        </w:trPr>
        <w:tc>
          <w:tcPr>
            <w:tcW w:w="9054" w:type="dxa"/>
            <w:gridSpan w:val="4"/>
            <w:shd w:val="clear" w:color="auto" w:fill="auto"/>
            <w:vAlign w:val="center"/>
          </w:tcPr>
          <w:p w:rsidR="004C708F" w:rsidRPr="008020C1" w:rsidRDefault="006C2A67" w:rsidP="00D0251C">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No aplica</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lang w:val="es-EC"/>
              </w:rPr>
            </w:pPr>
            <w:r w:rsidRPr="000B3A7F">
              <w:rPr>
                <w:rFonts w:asciiTheme="minorHAnsi" w:eastAsiaTheme="minorHAnsi" w:hAnsiTheme="minorHAnsi" w:cs="Arial"/>
                <w:b/>
                <w:bCs/>
                <w:color w:val="000000"/>
                <w:szCs w:val="22"/>
                <w:lang w:val="es-EC"/>
              </w:rPr>
              <w:t>NP</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Adquisición menos disposiciones de activ</w:t>
            </w:r>
            <w:r>
              <w:rPr>
                <w:rFonts w:asciiTheme="minorHAnsi" w:eastAsiaTheme="minorHAnsi" w:hAnsiTheme="minorHAnsi" w:cs="Arial"/>
                <w:b/>
                <w:bCs/>
                <w:color w:val="000000"/>
                <w:szCs w:val="22"/>
                <w:lang w:val="es-EC"/>
              </w:rPr>
              <w:t>os no financieros no producidos</w:t>
            </w:r>
          </w:p>
        </w:tc>
      </w:tr>
      <w:tr w:rsidR="004C708F" w:rsidRPr="00080CCB" w:rsidTr="00A815F6">
        <w:trPr>
          <w:jc w:val="center"/>
        </w:trPr>
        <w:tc>
          <w:tcPr>
            <w:tcW w:w="9054" w:type="dxa"/>
            <w:gridSpan w:val="4"/>
            <w:shd w:val="clear" w:color="auto" w:fill="auto"/>
            <w:vAlign w:val="center"/>
          </w:tcPr>
          <w:p w:rsidR="004C708F" w:rsidRPr="008020C1" w:rsidRDefault="00D0251C" w:rsidP="004919A3">
            <w:pPr>
              <w:spacing w:before="120" w:after="120"/>
              <w:jc w:val="both"/>
              <w:rPr>
                <w:rFonts w:asciiTheme="minorHAnsi" w:eastAsiaTheme="minorHAnsi" w:hAnsiTheme="minorHAnsi" w:cs="Arial"/>
                <w:bCs/>
                <w:color w:val="000000"/>
                <w:szCs w:val="22"/>
              </w:rPr>
            </w:pPr>
            <w:r>
              <w:rPr>
                <w:rFonts w:asciiTheme="minorHAnsi" w:eastAsiaTheme="minorHAnsi" w:hAnsiTheme="minorHAnsi" w:cs="Arial"/>
                <w:bCs/>
                <w:color w:val="000000"/>
                <w:szCs w:val="22"/>
              </w:rPr>
              <w:t>Esta variable se presenta solo en el caso de Sociedades no Financieras.</w:t>
            </w:r>
          </w:p>
        </w:tc>
      </w:tr>
      <w:tr w:rsidR="004C708F" w:rsidRPr="00080CCB" w:rsidTr="007E7852">
        <w:trPr>
          <w:jc w:val="center"/>
        </w:trPr>
        <w:tc>
          <w:tcPr>
            <w:tcW w:w="9054" w:type="dxa"/>
            <w:gridSpan w:val="4"/>
            <w:shd w:val="clear" w:color="auto" w:fill="DBE5F1"/>
            <w:vAlign w:val="center"/>
          </w:tcPr>
          <w:p w:rsidR="004C708F" w:rsidRPr="000B3A7F" w:rsidRDefault="004C708F" w:rsidP="004919A3">
            <w:pPr>
              <w:spacing w:before="120" w:after="120"/>
              <w:jc w:val="both"/>
              <w:rPr>
                <w:rFonts w:asciiTheme="minorHAnsi" w:eastAsiaTheme="minorHAnsi" w:hAnsiTheme="minorHAnsi" w:cs="Arial"/>
                <w:b/>
                <w:bCs/>
                <w:color w:val="000000"/>
                <w:szCs w:val="22"/>
              </w:rPr>
            </w:pPr>
            <w:r w:rsidRPr="000B3A7F">
              <w:rPr>
                <w:rFonts w:asciiTheme="minorHAnsi" w:eastAsiaTheme="minorHAnsi" w:hAnsiTheme="minorHAnsi" w:cs="Arial"/>
                <w:b/>
                <w:bCs/>
                <w:color w:val="000000"/>
                <w:szCs w:val="22"/>
                <w:lang w:val="es-EC"/>
              </w:rPr>
              <w:t>B.9</w:t>
            </w:r>
            <w:r>
              <w:rPr>
                <w:rFonts w:asciiTheme="minorHAnsi" w:eastAsiaTheme="minorHAnsi" w:hAnsiTheme="minorHAnsi" w:cs="Arial"/>
                <w:b/>
                <w:bCs/>
                <w:color w:val="000000"/>
                <w:szCs w:val="22"/>
                <w:lang w:val="es-EC"/>
              </w:rPr>
              <w:t xml:space="preserve">  </w:t>
            </w:r>
            <w:r w:rsidRPr="000B3A7F">
              <w:rPr>
                <w:rFonts w:asciiTheme="minorHAnsi" w:eastAsiaTheme="minorHAnsi" w:hAnsiTheme="minorHAnsi" w:cs="Arial"/>
                <w:b/>
                <w:bCs/>
                <w:color w:val="000000"/>
                <w:szCs w:val="22"/>
                <w:lang w:val="es-EC"/>
              </w:rPr>
              <w:t>Préstamo neto / endeudamiento neto</w:t>
            </w:r>
          </w:p>
        </w:tc>
      </w:tr>
      <w:tr w:rsidR="004C708F" w:rsidRPr="00D0251C" w:rsidTr="00A815F6">
        <w:trPr>
          <w:jc w:val="center"/>
        </w:trPr>
        <w:tc>
          <w:tcPr>
            <w:tcW w:w="9054" w:type="dxa"/>
            <w:gridSpan w:val="4"/>
            <w:shd w:val="clear" w:color="auto" w:fill="auto"/>
            <w:vAlign w:val="center"/>
          </w:tcPr>
          <w:p w:rsidR="00D0251C" w:rsidRPr="0018477A" w:rsidRDefault="001A1FFF" w:rsidP="00D0251C">
            <w:pPr>
              <w:shd w:val="clear" w:color="auto" w:fill="FFFFFF" w:themeFill="background1"/>
              <w:spacing w:before="120" w:after="120"/>
              <w:rPr>
                <w:color w:val="000000"/>
                <w:szCs w:val="22"/>
                <w:lang w:val="en-US"/>
              </w:rPr>
            </w:pPr>
            <w:r>
              <w:rPr>
                <w:b/>
                <w:noProof/>
                <w:color w:val="000000"/>
                <w:sz w:val="6"/>
                <w:szCs w:val="22"/>
                <w:lang w:val="es-EC" w:eastAsia="es-EC"/>
              </w:rPr>
              <w:pict>
                <v:shape id="_x0000_s1029" type="#_x0000_t87" style="position:absolute;margin-left:227pt;margin-top:-62.9pt;width:4.95pt;height:171.8pt;rotation:270;z-index:251663360;mso-position-horizontal-relative:text;mso-position-vertical-relative:text"/>
              </w:pict>
            </w:r>
            <w:r>
              <w:rPr>
                <w:b/>
                <w:noProof/>
                <w:color w:val="000000"/>
                <w:sz w:val="6"/>
                <w:szCs w:val="22"/>
                <w:lang w:val="es-EC" w:eastAsia="es-EC"/>
              </w:rPr>
              <w:pict>
                <v:shape id="_x0000_s1028" type="#_x0000_t87" style="position:absolute;margin-left:75.25pt;margin-top:-25.7pt;width:4.95pt;height:97.35pt;rotation:270;z-index:251662336;mso-position-horizontal-relative:text;mso-position-vertical-relative:text"/>
              </w:pict>
            </w:r>
            <w:r w:rsidR="00D0251C"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=B.8</m:t>
              </m:r>
              <m:r>
                <w:rPr>
                  <w:rFonts w:ascii="Cambria Math" w:eastAsiaTheme="minorHAnsi" w:hAnsi="Cambria Math" w:cs="Arial"/>
                  <w:color w:val="000000"/>
                  <w:szCs w:val="22"/>
                  <w:lang w:val="es-EC"/>
                </w:rPr>
                <m:t>n</m:t>
              </m:r>
              <m:r>
                <w:rPr>
                  <w:rFonts w:ascii="Cambria Math" w:eastAsiaTheme="minorHAnsi" w:hAnsi="Cambria Math" w:cs="Arial"/>
                  <w:color w:val="000000"/>
                  <w:szCs w:val="22"/>
                  <w:lang w:val="en-US"/>
                </w:rPr>
                <m:t>+</m:t>
              </m:r>
              <m:r>
                <w:rPr>
                  <w:rFonts w:ascii="Cambria Math" w:eastAsiaTheme="minorHAnsi" w:hAnsi="Cambria Math" w:cs="Arial"/>
                  <w:color w:val="000000"/>
                  <w:szCs w:val="22"/>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r</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D</m:t>
              </m:r>
              <m:r>
                <w:rPr>
                  <w:rFonts w:ascii="Cambria Math" w:eastAsiaTheme="minorHAnsi" w:hAnsi="Cambria Math" w:cs="Arial"/>
                  <w:color w:val="000000"/>
                  <w:szCs w:val="22"/>
                  <w:lang w:val="en-US"/>
                </w:rPr>
                <m:t>.9</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b</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.51</m:t>
              </m:r>
              <m:r>
                <w:rPr>
                  <w:rFonts w:ascii="Cambria Math" w:eastAsiaTheme="minorHAnsi" w:hAnsi="Cambria Math" w:cs="Arial"/>
                  <w:color w:val="000000"/>
                  <w:szCs w:val="22"/>
                  <w:lang w:val="es-EC"/>
                </w:rPr>
                <m:t>c</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P</m:t>
              </m:r>
              <m:r>
                <w:rPr>
                  <w:rFonts w:ascii="Cambria Math" w:eastAsiaTheme="minorHAnsi" w:hAnsi="Cambria Math" w:cs="Arial"/>
                  <w:color w:val="000000"/>
                  <w:szCs w:val="22"/>
                  <w:lang w:val="en-US"/>
                </w:rPr>
                <m:t>.52-P.53-</m:t>
              </m:r>
              <m:r>
                <w:rPr>
                  <w:rFonts w:ascii="Cambria Math" w:eastAsiaTheme="minorHAnsi" w:hAnsi="Cambria Math" w:cs="Arial"/>
                  <w:color w:val="000000"/>
                  <w:szCs w:val="22"/>
                  <w:lang w:val="es-EC"/>
                </w:rPr>
                <m:t>NP</m:t>
              </m:r>
            </m:oMath>
          </w:p>
          <w:p w:rsidR="00D0251C" w:rsidRPr="00AF1749" w:rsidRDefault="00D0251C" w:rsidP="00D0251C">
            <w:pPr>
              <w:shd w:val="clear" w:color="auto" w:fill="FFFFFF" w:themeFill="background1"/>
              <w:spacing w:before="120" w:after="120"/>
              <w:rPr>
                <w:color w:val="000000"/>
                <w:sz w:val="2"/>
                <w:szCs w:val="22"/>
                <w:lang w:val="en-US"/>
              </w:rPr>
            </w:pPr>
          </w:p>
          <w:p w:rsidR="00D0251C" w:rsidRPr="009F021A" w:rsidRDefault="00D0251C" w:rsidP="00D0251C">
            <w:pPr>
              <w:shd w:val="clear" w:color="auto" w:fill="FFFFFF" w:themeFill="background1"/>
              <w:spacing w:before="120" w:after="120"/>
              <w:rPr>
                <w:color w:val="000000"/>
                <w:szCs w:val="22"/>
                <w:lang w:val="es-EC"/>
              </w:rPr>
            </w:pPr>
            <w:r w:rsidRPr="00B77539">
              <w:rPr>
                <w:rFonts w:asciiTheme="minorHAnsi" w:eastAsiaTheme="minorEastAsia" w:hAnsiTheme="minorHAnsi" w:cs="Arial"/>
                <w:bCs/>
                <w:color w:val="000000"/>
                <w:szCs w:val="22"/>
                <w:lang w:val="en-US"/>
              </w:rPr>
              <w:t xml:space="preserve">         </w:t>
            </w:r>
            <w:r w:rsidRPr="00B77539">
              <w:rPr>
                <w:color w:val="000000"/>
                <w:szCs w:val="22"/>
                <w:lang w:val="en-US"/>
              </w:rPr>
              <w:t xml:space="preserve"> </w:t>
            </w:r>
            <w:r w:rsidRPr="009F021A">
              <w:rPr>
                <w:rFonts w:asciiTheme="minorHAnsi" w:eastAsiaTheme="minorEastAsia" w:hAnsiTheme="minorHAnsi" w:cs="Arial"/>
                <w:bCs/>
                <w:color w:val="000000"/>
                <w:sz w:val="18"/>
                <w:szCs w:val="22"/>
              </w:rPr>
              <w:t>variables de</w:t>
            </w:r>
            <w:r>
              <w:rPr>
                <w:rFonts w:asciiTheme="minorHAnsi" w:eastAsiaTheme="minorEastAsia" w:hAnsiTheme="minorHAnsi" w:cs="Arial"/>
                <w:bCs/>
                <w:color w:val="000000"/>
                <w:sz w:val="18"/>
                <w:szCs w:val="22"/>
              </w:rPr>
              <w:t xml:space="preserve"> variación de pasivos</w:t>
            </w:r>
            <w:r w:rsidRPr="009F021A">
              <w:rPr>
                <w:rFonts w:asciiTheme="minorHAnsi" w:eastAsiaTheme="minorEastAsia" w:hAnsiTheme="minorHAnsi" w:cs="Arial"/>
                <w:bCs/>
                <w:color w:val="000000"/>
                <w:sz w:val="18"/>
                <w:szCs w:val="22"/>
              </w:rPr>
              <w:t xml:space="preserve">   </w:t>
            </w:r>
            <w:r>
              <w:rPr>
                <w:rFonts w:asciiTheme="minorHAnsi" w:eastAsiaTheme="minorEastAsia" w:hAnsiTheme="minorHAnsi" w:cs="Arial"/>
                <w:bCs/>
                <w:color w:val="000000"/>
                <w:sz w:val="18"/>
                <w:szCs w:val="22"/>
              </w:rPr>
              <w:t xml:space="preserve">               </w:t>
            </w:r>
            <w:r w:rsidRPr="009F021A">
              <w:rPr>
                <w:rFonts w:asciiTheme="minorHAnsi" w:eastAsiaTheme="minorEastAsia" w:hAnsiTheme="minorHAnsi" w:cs="Arial"/>
                <w:bCs/>
                <w:color w:val="000000"/>
                <w:sz w:val="18"/>
                <w:szCs w:val="22"/>
              </w:rPr>
              <w:t xml:space="preserve">variables de </w:t>
            </w:r>
            <w:r>
              <w:rPr>
                <w:rFonts w:asciiTheme="minorHAnsi" w:eastAsiaTheme="minorEastAsia" w:hAnsiTheme="minorHAnsi" w:cs="Arial"/>
                <w:bCs/>
                <w:color w:val="000000"/>
                <w:sz w:val="18"/>
                <w:szCs w:val="22"/>
              </w:rPr>
              <w:t>variación de activos</w:t>
            </w:r>
          </w:p>
          <w:p w:rsidR="00D0251C" w:rsidRPr="00D0251C" w:rsidRDefault="00D0251C" w:rsidP="00D0251C">
            <w:pPr>
              <w:shd w:val="clear" w:color="auto" w:fill="FFFFFF" w:themeFill="background1"/>
              <w:spacing w:before="120" w:after="120"/>
              <w:rPr>
                <w:rFonts w:asciiTheme="minorHAnsi" w:hAnsiTheme="minorHAnsi"/>
                <w:color w:val="000000"/>
                <w:szCs w:val="22"/>
                <w:lang w:val="en-US"/>
              </w:rPr>
            </w:pPr>
            <w:r w:rsidRPr="00AF1749">
              <w:rPr>
                <w:b/>
                <w:color w:val="000000"/>
                <w:sz w:val="18"/>
                <w:szCs w:val="22"/>
                <w:lang w:val="en-US"/>
              </w:rPr>
              <w:lastRenderedPageBreak/>
              <w:t>B</w:t>
            </w:r>
            <m:oMath>
              <m:r>
                <m:rPr>
                  <m:sty m:val="bi"/>
                </m:rPr>
                <w:rPr>
                  <w:rFonts w:ascii="Cambria Math" w:eastAsiaTheme="minorHAnsi" w:hAnsi="Cambria Math" w:cs="Arial"/>
                  <w:color w:val="000000"/>
                  <w:szCs w:val="22"/>
                  <w:lang w:val="en-US"/>
                </w:rPr>
                <m:t>.</m:t>
              </m:r>
              <m:r>
                <m:rPr>
                  <m:sty m:val="b"/>
                </m:rPr>
                <w:rPr>
                  <w:rFonts w:ascii="Cambria Math" w:eastAsiaTheme="minorHAnsi" w:hAnsi="Cambria Math" w:cs="Arial"/>
                  <w:color w:val="000000"/>
                  <w:szCs w:val="22"/>
                  <w:lang w:val="es-EC"/>
                </w:rPr>
                <m:t>9</m:t>
              </m:r>
              <m:r>
                <m:rPr>
                  <m:sty m:val="p"/>
                </m:rPr>
                <w:rPr>
                  <w:rFonts w:ascii="Cambria Math" w:eastAsiaTheme="minorHAnsi" w:hAnsi="Cambria Math" w:cs="Arial"/>
                  <w:color w:val="000000"/>
                  <w:szCs w:val="22"/>
                  <w:lang w:val="en-US"/>
                </w:rPr>
                <m:t>=Ahorro neto+Transferencias de capital recibidas-Transferencias de capital pagadas-Formación bruta de capital fijo+Consumo de capital fijo-Variaciones de existencias-Adquisiciones menos disposiciones de objetos valiosos-Adquisición menos disposiciones de activos no financieros no producidos</m:t>
              </m:r>
            </m:oMath>
          </w:p>
          <w:p w:rsidR="00D0251C" w:rsidRPr="0018477A" w:rsidRDefault="00D0251C" w:rsidP="00D0251C">
            <w:pPr>
              <w:shd w:val="clear" w:color="auto" w:fill="FFFFFF" w:themeFill="background1"/>
              <w:spacing w:before="120" w:after="120"/>
              <w:rPr>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sidRPr="00D0251C">
              <w:rPr>
                <w:rFonts w:ascii="Calibri" w:hAnsi="Calibri"/>
                <w:color w:val="000000"/>
                <w:szCs w:val="22"/>
                <w:lang w:val="en-US"/>
              </w:rPr>
              <w:t>-</w:t>
            </w:r>
            <w:r w:rsidR="008058C3">
              <w:rPr>
                <w:rFonts w:ascii="Calibri" w:hAnsi="Calibri"/>
                <w:color w:val="000000"/>
                <w:szCs w:val="22"/>
                <w:lang w:val="en-US"/>
              </w:rPr>
              <w:t>294.162</w:t>
            </w:r>
            <m:oMath>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15.666</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11.490</m:t>
              </m:r>
              <m:r>
                <w:rPr>
                  <w:rFonts w:ascii="Cambria Math" w:eastAsiaTheme="minorHAnsi" w:hAnsi="Cambria Math" w:cs="Arial"/>
                  <w:color w:val="000000"/>
                  <w:szCs w:val="22"/>
                  <w:lang w:val="en-US"/>
                </w:rPr>
                <m:t>-</m:t>
              </m:r>
              <m:r>
                <w:rPr>
                  <w:rFonts w:ascii="Cambria Math" w:eastAsiaTheme="minorHAnsi" w:hAnsi="Cambria Math" w:cs="Arial"/>
                  <w:color w:val="000000"/>
                  <w:szCs w:val="22"/>
                  <w:lang w:val="es-EC"/>
                </w:rPr>
                <m:t>0</m:t>
              </m:r>
              <m:r>
                <w:rPr>
                  <w:rFonts w:ascii="Cambria Math" w:eastAsiaTheme="minorHAnsi" w:hAnsi="Cambria Math" w:cs="Arial"/>
                  <w:color w:val="000000"/>
                  <w:szCs w:val="22"/>
                  <w:lang w:val="en-US"/>
                </w:rPr>
                <m:t>-0-</m:t>
              </m:r>
              <m:r>
                <w:rPr>
                  <w:rFonts w:ascii="Cambria Math" w:eastAsiaTheme="minorHAnsi" w:hAnsi="Cambria Math" w:cs="Arial"/>
                  <w:color w:val="000000"/>
                  <w:szCs w:val="22"/>
                  <w:lang w:val="es-EC"/>
                </w:rPr>
                <m:t>0</m:t>
              </m:r>
            </m:oMath>
          </w:p>
          <w:p w:rsidR="004C708F" w:rsidRPr="00D0251C" w:rsidRDefault="00D0251C" w:rsidP="006C2A67">
            <w:pPr>
              <w:spacing w:before="120" w:after="120"/>
              <w:jc w:val="both"/>
              <w:rPr>
                <w:rFonts w:asciiTheme="minorHAnsi" w:eastAsiaTheme="minorHAnsi" w:hAnsiTheme="minorHAnsi" w:cs="Arial"/>
                <w:b/>
                <w:bCs/>
                <w:color w:val="000000"/>
                <w:szCs w:val="22"/>
                <w:lang w:val="en-US"/>
              </w:rPr>
            </w:pPr>
            <w:r w:rsidRPr="00AF1749">
              <w:rPr>
                <w:b/>
                <w:color w:val="000000"/>
                <w:sz w:val="18"/>
                <w:szCs w:val="22"/>
                <w:lang w:val="en-US"/>
              </w:rPr>
              <w:t>B</w:t>
            </w:r>
            <m:oMath>
              <m:r>
                <m:rPr>
                  <m:sty m:val="bi"/>
                </m:rPr>
                <w:rPr>
                  <w:rFonts w:ascii="Cambria Math" w:eastAsiaTheme="minorHAnsi" w:hAnsi="Cambria Math" w:cs="Arial"/>
                  <w:color w:val="000000"/>
                  <w:szCs w:val="22"/>
                  <w:lang w:val="en-US"/>
                </w:rPr>
                <m:t>.</m:t>
              </m:r>
              <m:r>
                <m:rPr>
                  <m:sty m:val="bi"/>
                </m:rPr>
                <w:rPr>
                  <w:rFonts w:ascii="Cambria Math" w:eastAsiaTheme="minorHAnsi" w:hAnsi="Cambria Math" w:cs="Arial"/>
                  <w:color w:val="000000"/>
                  <w:szCs w:val="22"/>
                  <w:lang w:val="es-EC"/>
                </w:rPr>
                <m:t>9</m:t>
              </m:r>
              <m:r>
                <w:rPr>
                  <w:rFonts w:ascii="Cambria Math" w:eastAsiaTheme="minorHAnsi" w:hAnsi="Cambria Math" w:cs="Arial"/>
                  <w:color w:val="000000"/>
                  <w:szCs w:val="22"/>
                  <w:lang w:val="en-US"/>
                </w:rPr>
                <m:t>=</m:t>
              </m:r>
            </m:oMath>
            <w:r>
              <w:rPr>
                <w:rFonts w:ascii="Calibri" w:hAnsi="Calibri"/>
                <w:color w:val="000000"/>
                <w:szCs w:val="22"/>
                <w:lang w:val="en-US"/>
              </w:rPr>
              <w:t xml:space="preserve"> </w:t>
            </w:r>
            <w:r w:rsidR="008058C3">
              <w:rPr>
                <w:rFonts w:ascii="Calibri" w:hAnsi="Calibri"/>
                <w:color w:val="000000"/>
                <w:szCs w:val="22"/>
                <w:lang w:val="en-US"/>
              </w:rPr>
              <w:t>289.986</w:t>
            </w:r>
          </w:p>
        </w:tc>
      </w:tr>
      <w:tr w:rsidR="004C708F" w:rsidRPr="00080CCB" w:rsidTr="007E7852">
        <w:trPr>
          <w:jc w:val="center"/>
        </w:trPr>
        <w:tc>
          <w:tcPr>
            <w:tcW w:w="9054" w:type="dxa"/>
            <w:gridSpan w:val="4"/>
            <w:shd w:val="clear" w:color="auto" w:fill="DBE5F1"/>
            <w:vAlign w:val="center"/>
          </w:tcPr>
          <w:p w:rsidR="004C708F" w:rsidRPr="00410A0A" w:rsidRDefault="004C708F" w:rsidP="004C708F">
            <w:pPr>
              <w:spacing w:before="120" w:after="120"/>
              <w:jc w:val="center"/>
              <w:rPr>
                <w:rFonts w:asciiTheme="minorHAnsi" w:eastAsiaTheme="minorHAnsi" w:hAnsiTheme="minorHAnsi" w:cs="Arial"/>
                <w:b/>
                <w:bCs/>
                <w:color w:val="000000"/>
                <w:szCs w:val="22"/>
                <w:lang w:val="es-EC"/>
              </w:rPr>
            </w:pPr>
            <w:r w:rsidRPr="00410A0A">
              <w:rPr>
                <w:rFonts w:asciiTheme="minorHAnsi" w:eastAsiaTheme="minorHAnsi" w:hAnsiTheme="minorHAnsi" w:cs="Arial"/>
                <w:b/>
                <w:bCs/>
                <w:color w:val="000000"/>
                <w:szCs w:val="22"/>
                <w:lang w:val="es-EC"/>
              </w:rPr>
              <w:lastRenderedPageBreak/>
              <w:t>7. LIMITACIONES TÉCNICAS</w:t>
            </w:r>
          </w:p>
        </w:tc>
      </w:tr>
      <w:tr w:rsidR="004C708F" w:rsidRPr="00080CCB" w:rsidTr="008058C3">
        <w:trPr>
          <w:jc w:val="center"/>
        </w:trPr>
        <w:tc>
          <w:tcPr>
            <w:tcW w:w="9054" w:type="dxa"/>
            <w:gridSpan w:val="4"/>
            <w:shd w:val="clear" w:color="auto" w:fill="auto"/>
            <w:vAlign w:val="center"/>
          </w:tcPr>
          <w:p w:rsidR="004C708F" w:rsidRPr="008058C3" w:rsidRDefault="004C708F" w:rsidP="00CB4DD9">
            <w:pPr>
              <w:spacing w:before="120" w:after="120"/>
              <w:jc w:val="both"/>
              <w:rPr>
                <w:rFonts w:ascii="Arial" w:hAnsi="Arial" w:cs="Arial"/>
              </w:rPr>
            </w:pPr>
            <w:r w:rsidRPr="00CB4DD9">
              <w:rPr>
                <w:rFonts w:asciiTheme="minorHAnsi" w:hAnsiTheme="minorHAnsi" w:cs="Arial"/>
              </w:rPr>
              <w:t>Las entidades que suministran de la información cruda no entreg</w:t>
            </w:r>
            <w:r w:rsidR="008058C3" w:rsidRPr="00CB4DD9">
              <w:rPr>
                <w:rFonts w:asciiTheme="minorHAnsi" w:hAnsiTheme="minorHAnsi" w:cs="Arial"/>
              </w:rPr>
              <w:t>uen</w:t>
            </w:r>
            <w:r w:rsidRPr="00CB4DD9">
              <w:rPr>
                <w:rFonts w:asciiTheme="minorHAnsi" w:hAnsiTheme="minorHAnsi" w:cs="Arial"/>
              </w:rPr>
              <w:t xml:space="preserve"> en ti</w:t>
            </w:r>
            <w:r w:rsidR="00CB4DD9" w:rsidRPr="00CB4DD9">
              <w:rPr>
                <w:rFonts w:asciiTheme="minorHAnsi" w:hAnsiTheme="minorHAnsi" w:cs="Arial"/>
              </w:rPr>
              <w:t>empo adecuado dicha información</w:t>
            </w:r>
            <w:r w:rsidR="00CB4DD9">
              <w:rPr>
                <w:rFonts w:ascii="Arial" w:hAnsi="Arial" w:cs="Arial"/>
              </w:rPr>
              <w:t>.</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3559" w:type="dxa"/>
            <w:vAlign w:val="center"/>
          </w:tcPr>
          <w:p w:rsidR="004C708F" w:rsidRPr="00080CCB" w:rsidRDefault="004C708F" w:rsidP="009036BF">
            <w:pPr>
              <w:jc w:val="both"/>
              <w:rPr>
                <w:rFonts w:asciiTheme="minorHAnsi" w:hAnsiTheme="minorHAnsi" w:cs="Arial"/>
                <w:szCs w:val="22"/>
              </w:rPr>
            </w:pPr>
            <w:r>
              <w:rPr>
                <w:rFonts w:asciiTheme="minorHAnsi" w:hAnsiTheme="minorHAnsi" w:cs="Arial"/>
                <w:szCs w:val="22"/>
              </w:rPr>
              <w:t xml:space="preserve">Miles de dólares </w:t>
            </w:r>
          </w:p>
        </w:tc>
      </w:tr>
      <w:tr w:rsidR="004C708F" w:rsidRPr="00080CCB" w:rsidTr="008058C3">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559" w:type="dxa"/>
            <w:shd w:val="clear" w:color="auto" w:fill="auto"/>
            <w:vAlign w:val="center"/>
          </w:tcPr>
          <w:p w:rsidR="004C708F" w:rsidRPr="00326516" w:rsidRDefault="00CB4DD9" w:rsidP="008058C3">
            <w:pPr>
              <w:autoSpaceDE w:val="0"/>
              <w:autoSpaceDN w:val="0"/>
              <w:adjustRightInd w:val="0"/>
              <w:jc w:val="both"/>
              <w:rPr>
                <w:rFonts w:asciiTheme="minorHAnsi" w:hAnsiTheme="minorHAnsi" w:cs="Arial"/>
                <w:szCs w:val="22"/>
                <w:lang w:val="es-EC"/>
              </w:rPr>
            </w:pPr>
            <w:r>
              <w:rPr>
                <w:rFonts w:asciiTheme="minorHAnsi" w:hAnsiTheme="minorHAnsi" w:cs="Arial"/>
                <w:szCs w:val="22"/>
                <w:lang w:val="es-EC"/>
              </w:rPr>
              <w:t>No aplica</w:t>
            </w:r>
          </w:p>
        </w:tc>
      </w:tr>
      <w:tr w:rsidR="004C708F" w:rsidRPr="00080CCB" w:rsidTr="008058C3">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FUENTE DE DATOS</w:t>
            </w:r>
          </w:p>
        </w:tc>
        <w:tc>
          <w:tcPr>
            <w:tcW w:w="3559" w:type="dxa"/>
            <w:shd w:val="clear" w:color="auto" w:fill="auto"/>
            <w:vAlign w:val="center"/>
          </w:tcPr>
          <w:p w:rsidR="00A815F6" w:rsidRPr="008C5E29" w:rsidRDefault="00A815F6" w:rsidP="00A815F6">
            <w:pPr>
              <w:spacing w:before="120" w:after="120"/>
              <w:rPr>
                <w:rFonts w:asciiTheme="minorHAnsi" w:eastAsiaTheme="minorHAnsi" w:hAnsiTheme="minorHAnsi" w:cs="Arial"/>
                <w:b/>
                <w:bCs/>
                <w:color w:val="000000"/>
                <w:szCs w:val="22"/>
                <w:lang w:val="es-EC"/>
              </w:rPr>
            </w:pPr>
            <w:r w:rsidRPr="008C5E29">
              <w:rPr>
                <w:rFonts w:asciiTheme="minorHAnsi" w:eastAsiaTheme="minorHAnsi" w:hAnsiTheme="minorHAnsi" w:cs="Arial"/>
                <w:b/>
                <w:bCs/>
                <w:color w:val="000000"/>
                <w:szCs w:val="22"/>
                <w:lang w:val="es-EC"/>
              </w:rPr>
              <w:t>Instituto Ecuatoriano de Seguridad Social</w:t>
            </w:r>
          </w:p>
          <w:p w:rsidR="004C708F" w:rsidRDefault="00A815F6" w:rsidP="008058C3">
            <w:pPr>
              <w:pStyle w:val="Prrafodelista"/>
              <w:numPr>
                <w:ilvl w:val="0"/>
                <w:numId w:val="18"/>
              </w:numPr>
              <w:jc w:val="both"/>
              <w:rPr>
                <w:rFonts w:asciiTheme="minorHAnsi" w:hAnsiTheme="minorHAnsi" w:cs="Arial"/>
                <w:szCs w:val="22"/>
              </w:rPr>
            </w:pPr>
            <w:r w:rsidRPr="000A5927">
              <w:rPr>
                <w:rFonts w:asciiTheme="minorHAnsi" w:eastAsiaTheme="minorHAnsi" w:hAnsiTheme="minorHAnsi" w:cs="Arial"/>
                <w:bCs/>
                <w:color w:val="000000"/>
                <w:szCs w:val="22"/>
                <w:lang w:val="es-EC"/>
              </w:rPr>
              <w:t>Seguro General de Salud Individual y familiar (</w:t>
            </w:r>
            <w:r w:rsidRPr="000A5927">
              <w:rPr>
                <w:rFonts w:asciiTheme="minorHAnsi" w:hAnsiTheme="minorHAnsi" w:cs="Arial"/>
                <w:szCs w:val="22"/>
              </w:rPr>
              <w:t>Presupuestos devengados)</w:t>
            </w:r>
          </w:p>
          <w:p w:rsidR="008058C3" w:rsidRPr="008058C3" w:rsidRDefault="008058C3" w:rsidP="008058C3">
            <w:pPr>
              <w:pStyle w:val="Prrafodelista"/>
              <w:numPr>
                <w:ilvl w:val="0"/>
                <w:numId w:val="18"/>
              </w:numPr>
              <w:jc w:val="both"/>
              <w:rPr>
                <w:rFonts w:asciiTheme="minorHAnsi" w:hAnsiTheme="minorHAnsi" w:cs="Arial"/>
                <w:szCs w:val="22"/>
              </w:rPr>
            </w:pPr>
            <w:r w:rsidRPr="008058C3">
              <w:rPr>
                <w:rFonts w:asciiTheme="minorHAnsi" w:hAnsiTheme="minorHAnsi" w:cstheme="minorHAnsi"/>
                <w:bCs/>
                <w:szCs w:val="22"/>
                <w:lang w:eastAsia="es-ES"/>
              </w:rPr>
              <w:t>Actividades y recursos de la salud</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PERIODICIDAD DEL INDICADOR</w:t>
            </w:r>
          </w:p>
        </w:tc>
        <w:tc>
          <w:tcPr>
            <w:tcW w:w="3559" w:type="dxa"/>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Anual</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559" w:type="dxa"/>
            <w:vAlign w:val="center"/>
          </w:tcPr>
          <w:p w:rsidR="004C708F" w:rsidRPr="00A815F6" w:rsidRDefault="004C708F" w:rsidP="00A815F6">
            <w:pPr>
              <w:spacing w:before="120" w:after="120"/>
              <w:jc w:val="both"/>
              <w:rPr>
                <w:rFonts w:asciiTheme="minorHAnsi" w:hAnsiTheme="minorHAnsi" w:cs="Arial"/>
                <w:szCs w:val="22"/>
              </w:rPr>
            </w:pPr>
            <w:r w:rsidRPr="00A815F6">
              <w:rPr>
                <w:rFonts w:asciiTheme="minorHAnsi" w:hAnsiTheme="minorHAnsi" w:cs="Arial"/>
                <w:szCs w:val="22"/>
              </w:rPr>
              <w:t>Existe un riesgo al no disponer de un convenio con las Instituciones que entregan la información</w:t>
            </w:r>
          </w:p>
        </w:tc>
      </w:tr>
      <w:tr w:rsidR="004C708F" w:rsidRPr="00080CCB" w:rsidTr="00A815F6">
        <w:trPr>
          <w:jc w:val="center"/>
        </w:trPr>
        <w:tc>
          <w:tcPr>
            <w:tcW w:w="3652" w:type="dxa"/>
            <w:vMerge w:val="restart"/>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r w:rsidRPr="00080CCB">
              <w:rPr>
                <w:rFonts w:asciiTheme="minorHAnsi" w:hAnsiTheme="minorHAnsi" w:cs="Arial"/>
                <w:b/>
                <w:bCs/>
                <w:szCs w:val="22"/>
              </w:rPr>
              <w:t>NIVEL DE</w:t>
            </w:r>
          </w:p>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Nacional</w:t>
            </w:r>
          </w:p>
        </w:tc>
      </w:tr>
      <w:tr w:rsidR="004C708F" w:rsidRPr="00080CCB" w:rsidTr="00A815F6">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Sectores institucionales</w:t>
            </w:r>
          </w:p>
        </w:tc>
      </w:tr>
      <w:tr w:rsidR="004C708F" w:rsidRPr="00080CCB" w:rsidTr="00A815F6">
        <w:trPr>
          <w:jc w:val="center"/>
        </w:trPr>
        <w:tc>
          <w:tcPr>
            <w:tcW w:w="3652" w:type="dxa"/>
            <w:vMerge/>
            <w:shd w:val="clear" w:color="auto" w:fill="DBE5F1"/>
            <w:vAlign w:val="center"/>
          </w:tcPr>
          <w:p w:rsidR="004C708F" w:rsidRPr="00080CCB" w:rsidRDefault="004C708F" w:rsidP="009036BF">
            <w:pPr>
              <w:spacing w:before="60" w:after="60"/>
              <w:jc w:val="both"/>
              <w:rPr>
                <w:rFonts w:asciiTheme="minorHAnsi" w:hAnsiTheme="minorHAnsi" w:cs="Arial"/>
                <w:b/>
                <w:bCs/>
                <w:szCs w:val="22"/>
              </w:rPr>
            </w:pPr>
          </w:p>
        </w:tc>
        <w:tc>
          <w:tcPr>
            <w:tcW w:w="1843" w:type="dxa"/>
            <w:gridSpan w:val="2"/>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Unidades institucionales</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3559" w:type="dxa"/>
            <w:shd w:val="clear" w:color="auto" w:fill="auto"/>
            <w:vAlign w:val="center"/>
          </w:tcPr>
          <w:p w:rsidR="004C708F" w:rsidRPr="00A815F6" w:rsidRDefault="004C708F" w:rsidP="00A815F6">
            <w:pPr>
              <w:spacing w:before="120" w:after="120"/>
              <w:rPr>
                <w:rFonts w:asciiTheme="minorHAnsi" w:hAnsiTheme="minorHAnsi" w:cs="Arial"/>
                <w:szCs w:val="22"/>
              </w:rPr>
            </w:pPr>
            <w:r w:rsidRPr="00A815F6">
              <w:rPr>
                <w:rFonts w:asciiTheme="minorHAnsi" w:hAnsiTheme="minorHAnsi" w:cs="Arial"/>
                <w:szCs w:val="22"/>
              </w:rPr>
              <w:t>No aplica</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 xml:space="preserve">RELACIÓN CON INSTRUMENTOS DE PLANIFICACIÓN </w:t>
            </w:r>
            <w:r w:rsidRPr="00080CCB">
              <w:rPr>
                <w:rFonts w:asciiTheme="minorHAnsi" w:eastAsiaTheme="minorHAnsi" w:hAnsiTheme="minorHAnsi" w:cs="Arial"/>
                <w:b/>
                <w:color w:val="000000"/>
                <w:szCs w:val="22"/>
                <w:lang w:val="es-EC"/>
              </w:rPr>
              <w:lastRenderedPageBreak/>
              <w:t>NACIONAL E INTERNACIONAL</w:t>
            </w:r>
          </w:p>
        </w:tc>
        <w:tc>
          <w:tcPr>
            <w:tcW w:w="3559" w:type="dxa"/>
            <w:shd w:val="clear" w:color="auto" w:fill="auto"/>
            <w:vAlign w:val="center"/>
          </w:tcPr>
          <w:p w:rsidR="008058C3" w:rsidRPr="00951384" w:rsidRDefault="008058C3" w:rsidP="008058C3">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lastRenderedPageBreak/>
              <w:t xml:space="preserve">Es una herramienta estadística  </w:t>
            </w:r>
            <w:r w:rsidRPr="00951384">
              <w:rPr>
                <w:rFonts w:asciiTheme="minorHAnsi" w:hAnsiTheme="minorHAnsi" w:cs="Arial"/>
                <w:szCs w:val="22"/>
                <w:lang w:val="es-EC"/>
              </w:rPr>
              <w:lastRenderedPageBreak/>
              <w:t xml:space="preserve">importante para la formulación, implementación y evaluación de las políticas del gobierno, contribuye al cumplimiento de los objetivos del Plan Nacional del Buen Vivir 2013-2017. </w:t>
            </w:r>
          </w:p>
          <w:p w:rsidR="008058C3" w:rsidRPr="00951384" w:rsidRDefault="008058C3" w:rsidP="008058C3">
            <w:pPr>
              <w:spacing w:before="120" w:after="120"/>
              <w:mirrorIndents/>
              <w:jc w:val="both"/>
              <w:rPr>
                <w:rFonts w:asciiTheme="minorHAnsi" w:hAnsiTheme="minorHAnsi" w:cs="Arial"/>
                <w:szCs w:val="22"/>
                <w:lang w:val="es-EC"/>
              </w:rPr>
            </w:pPr>
            <w:r w:rsidRPr="00951384">
              <w:rPr>
                <w:rFonts w:asciiTheme="minorHAnsi" w:hAnsiTheme="minorHAnsi" w:cs="Arial"/>
                <w:szCs w:val="22"/>
                <w:lang w:val="es-EC"/>
              </w:rPr>
              <w:t>El Objetivo 1 “Consolidar el Estado democrático y la construcción del poder popular” alineado a las Políticas y lineamientos estratégicos siguientes:</w:t>
            </w:r>
          </w:p>
          <w:p w:rsidR="004C708F" w:rsidRPr="00A815F6" w:rsidRDefault="008058C3" w:rsidP="008058C3">
            <w:pPr>
              <w:spacing w:before="120" w:after="120"/>
              <w:jc w:val="both"/>
              <w:rPr>
                <w:rFonts w:asciiTheme="minorHAnsi" w:hAnsiTheme="minorHAnsi" w:cs="Arial"/>
                <w:szCs w:val="22"/>
                <w:lang w:val="es-EC"/>
              </w:rPr>
            </w:pPr>
            <w:r w:rsidRPr="00257061">
              <w:rPr>
                <w:rFonts w:asciiTheme="minorHAnsi" w:eastAsia="Calibri" w:hAnsiTheme="minorHAnsi"/>
                <w:i/>
                <w:iCs/>
                <w:szCs w:val="22"/>
                <w:lang w:val="es-EC" w:eastAsia="es-EC"/>
              </w:rPr>
              <w:t>Objetivo 2</w:t>
            </w:r>
            <w:r w:rsidRPr="00257061">
              <w:rPr>
                <w:rFonts w:asciiTheme="minorHAnsi" w:eastAsia="Calibri" w:hAnsiTheme="minorHAnsi"/>
                <w:szCs w:val="22"/>
                <w:lang w:val="es-EC" w:eastAsia="es-EC"/>
              </w:rPr>
              <w:t>: “Auspiciar la igualdad, la cohesión, la inclusión y la equidad social y territorial, en la diversidad”</w:t>
            </w:r>
            <w:r w:rsidRPr="00951384">
              <w:rPr>
                <w:rFonts w:asciiTheme="minorHAnsi" w:hAnsiTheme="minorHAnsi" w:cs="Arial"/>
                <w:szCs w:val="22"/>
                <w:lang w:val="es-EC"/>
              </w:rPr>
              <w:t>.</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lastRenderedPageBreak/>
              <w:t>REFERENCIAS BIBLIOGRÁFICAS DE LA CONSTRUCCIÓN DEL INDICADOR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eastAsiaTheme="minorHAnsi" w:hAnsiTheme="minorHAnsi"/>
                <w:szCs w:val="22"/>
                <w:lang w:val="es-EC"/>
              </w:rPr>
              <w:t>Naciones Unidas. Sistema de Cuentas Nacionales 2008 (SCN 2008).</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ELABORACIÓN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559" w:type="dxa"/>
            <w:shd w:val="clear" w:color="auto" w:fill="auto"/>
            <w:vAlign w:val="center"/>
          </w:tcPr>
          <w:p w:rsidR="004C708F" w:rsidRPr="004909B4" w:rsidRDefault="004C708F" w:rsidP="004909B4">
            <w:pPr>
              <w:spacing w:before="120"/>
              <w:rPr>
                <w:rFonts w:asciiTheme="minorHAnsi" w:hAnsiTheme="minorHAnsi" w:cs="Arial"/>
                <w:szCs w:val="22"/>
              </w:rPr>
            </w:pPr>
            <w:r w:rsidRPr="004909B4">
              <w:rPr>
                <w:rFonts w:asciiTheme="minorHAnsi" w:hAnsiTheme="minorHAnsi" w:cs="Arial"/>
                <w:szCs w:val="22"/>
              </w:rPr>
              <w:t>Dominio 1: 1.4 Salud</w:t>
            </w:r>
          </w:p>
          <w:p w:rsidR="004C708F" w:rsidRPr="004909B4" w:rsidRDefault="004C708F" w:rsidP="004909B4">
            <w:pPr>
              <w:spacing w:after="120"/>
              <w:rPr>
                <w:rFonts w:asciiTheme="minorHAnsi" w:hAnsiTheme="minorHAnsi" w:cs="Arial"/>
                <w:szCs w:val="22"/>
              </w:rPr>
            </w:pPr>
            <w:r w:rsidRPr="004909B4">
              <w:rPr>
                <w:rFonts w:asciiTheme="minorHAnsi" w:hAnsiTheme="minorHAnsi" w:cs="Arial"/>
                <w:szCs w:val="22"/>
              </w:rPr>
              <w:t>Dominio 2: 2.2 Cuentas económicas</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Miembros de Equipo ASIN</w:t>
            </w:r>
          </w:p>
        </w:tc>
      </w:tr>
      <w:tr w:rsidR="004C708F" w:rsidRPr="00080CCB" w:rsidTr="00A815F6">
        <w:trPr>
          <w:jc w:val="center"/>
        </w:trPr>
        <w:tc>
          <w:tcPr>
            <w:tcW w:w="5495" w:type="dxa"/>
            <w:gridSpan w:val="3"/>
            <w:shd w:val="clear" w:color="auto" w:fill="DBE5F1"/>
            <w:vAlign w:val="center"/>
          </w:tcPr>
          <w:p w:rsidR="004C708F" w:rsidRPr="00080CCB"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María Soledad Carvajal Ruiz</w:t>
            </w:r>
          </w:p>
        </w:tc>
      </w:tr>
      <w:tr w:rsidR="004C708F" w:rsidRPr="00080CCB" w:rsidTr="00A815F6">
        <w:trPr>
          <w:jc w:val="center"/>
        </w:trPr>
        <w:tc>
          <w:tcPr>
            <w:tcW w:w="5495" w:type="dxa"/>
            <w:gridSpan w:val="3"/>
            <w:shd w:val="clear" w:color="auto" w:fill="DBE5F1"/>
            <w:vAlign w:val="center"/>
          </w:tcPr>
          <w:p w:rsidR="004C708F" w:rsidRDefault="004C708F" w:rsidP="009036BF">
            <w:pPr>
              <w:spacing w:before="60" w:after="60"/>
              <w:jc w:val="both"/>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559" w:type="dxa"/>
            <w:shd w:val="clear" w:color="auto" w:fill="auto"/>
            <w:vAlign w:val="center"/>
          </w:tcPr>
          <w:p w:rsidR="004C708F" w:rsidRPr="004909B4" w:rsidRDefault="004C708F" w:rsidP="004909B4">
            <w:pPr>
              <w:spacing w:before="120" w:after="120"/>
              <w:rPr>
                <w:rFonts w:asciiTheme="minorHAnsi" w:hAnsiTheme="minorHAnsi" w:cs="Arial"/>
                <w:szCs w:val="22"/>
              </w:rPr>
            </w:pPr>
            <w:r w:rsidRPr="004909B4">
              <w:rPr>
                <w:rFonts w:asciiTheme="minorHAnsi" w:hAnsiTheme="minorHAnsi" w:cs="Arial"/>
                <w:szCs w:val="22"/>
              </w:rPr>
              <w:t>Jaime  Gerardo Salcedo Bastidas</w:t>
            </w:r>
          </w:p>
        </w:tc>
      </w:tr>
    </w:tbl>
    <w:p w:rsidR="007D52DD" w:rsidRDefault="007D52DD" w:rsidP="009036BF">
      <w:pPr>
        <w:jc w:val="both"/>
        <w:rPr>
          <w:rFonts w:asciiTheme="minorHAnsi" w:hAnsiTheme="minorHAnsi"/>
          <w:sz w:val="22"/>
          <w:szCs w:val="22"/>
        </w:rPr>
      </w:pPr>
    </w:p>
    <w:p w:rsidR="00CB4DD9" w:rsidRPr="00080CCB" w:rsidRDefault="00CB4DD9" w:rsidP="009036BF">
      <w:pPr>
        <w:jc w:val="both"/>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4909B4">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4909B4">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Pr="00080CCB" w:rsidRDefault="007D52DD" w:rsidP="009036BF">
            <w:pPr>
              <w:jc w:val="both"/>
              <w:rPr>
                <w:rFonts w:asciiTheme="minorHAnsi" w:hAnsiTheme="minorHAnsi" w:cs="Arial"/>
                <w:szCs w:val="22"/>
              </w:rPr>
            </w:pPr>
          </w:p>
          <w:p w:rsidR="007D52DD" w:rsidRPr="00080CCB" w:rsidRDefault="007D52DD" w:rsidP="009036BF">
            <w:pPr>
              <w:jc w:val="both"/>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9036BF">
            <w:pPr>
              <w:pStyle w:val="Default"/>
              <w:spacing w:before="60"/>
              <w:jc w:val="both"/>
              <w:rPr>
                <w:rFonts w:asciiTheme="minorHAnsi" w:hAnsiTheme="minorHAnsi"/>
                <w:sz w:val="22"/>
                <w:szCs w:val="22"/>
              </w:rPr>
            </w:pPr>
            <w:r w:rsidRPr="00080CCB">
              <w:rPr>
                <w:rFonts w:asciiTheme="minorHAnsi" w:hAnsiTheme="minorHAnsi"/>
                <w:b/>
                <w:bCs/>
                <w:sz w:val="22"/>
                <w:szCs w:val="22"/>
              </w:rPr>
              <w:t>AÑO DE REFERENCIA DE LA SINTAXIS</w:t>
            </w:r>
          </w:p>
        </w:tc>
        <w:tc>
          <w:tcPr>
            <w:tcW w:w="4508" w:type="dxa"/>
            <w:vAlign w:val="center"/>
          </w:tcPr>
          <w:p w:rsidR="007D52DD" w:rsidRPr="00080CCB" w:rsidRDefault="007D52DD" w:rsidP="009036BF">
            <w:pPr>
              <w:jc w:val="both"/>
              <w:rPr>
                <w:rFonts w:asciiTheme="minorHAnsi" w:hAnsiTheme="minorHAnsi" w:cs="Arial"/>
                <w:szCs w:val="22"/>
              </w:rPr>
            </w:pPr>
          </w:p>
        </w:tc>
      </w:tr>
    </w:tbl>
    <w:p w:rsidR="007D52DD" w:rsidRPr="00080CCB" w:rsidRDefault="007D52DD" w:rsidP="004909B4">
      <w:pPr>
        <w:jc w:val="both"/>
        <w:rPr>
          <w:rFonts w:asciiTheme="minorHAnsi" w:hAnsiTheme="minorHAnsi"/>
          <w:sz w:val="22"/>
          <w:szCs w:val="22"/>
        </w:rPr>
      </w:pPr>
    </w:p>
    <w:sectPr w:rsidR="007D52DD" w:rsidRPr="00080CCB" w:rsidSect="00662EE0">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AFA" w:rsidRDefault="001A1AFA" w:rsidP="007C0272">
      <w:r>
        <w:separator/>
      </w:r>
    </w:p>
  </w:endnote>
  <w:endnote w:type="continuationSeparator" w:id="0">
    <w:p w:rsidR="001A1AFA" w:rsidRDefault="001A1AFA"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FFF" w:rsidRDefault="001A1FF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FFF" w:rsidRDefault="001A1FF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FFF" w:rsidRDefault="001A1FF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AFA" w:rsidRDefault="001A1AFA" w:rsidP="007C0272">
      <w:r>
        <w:separator/>
      </w:r>
    </w:p>
  </w:footnote>
  <w:footnote w:type="continuationSeparator" w:id="0">
    <w:p w:rsidR="001A1AFA" w:rsidRDefault="001A1AFA"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FFF" w:rsidRDefault="001A1FF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22"/>
      <w:gridCol w:w="923"/>
      <w:gridCol w:w="4091"/>
      <w:gridCol w:w="1607"/>
    </w:tblGrid>
    <w:tr w:rsidR="00E43228" w:rsidRPr="004B60A7" w:rsidTr="006C2A67">
      <w:trPr>
        <w:trHeight w:val="268"/>
      </w:trPr>
      <w:tc>
        <w:tcPr>
          <w:tcW w:w="2422" w:type="dxa"/>
          <w:vMerge w:val="restart"/>
          <w:shd w:val="clear" w:color="auto" w:fill="auto"/>
        </w:tcPr>
        <w:p w:rsidR="00E43228" w:rsidRPr="004B60A7" w:rsidRDefault="00E43228" w:rsidP="006A39CE">
          <w:pPr>
            <w:jc w:val="center"/>
            <w:rPr>
              <w:b/>
              <w:u w:val="single"/>
            </w:rPr>
          </w:pPr>
          <w:r>
            <w:rPr>
              <w:noProof/>
              <w:lang w:val="es-EC" w:eastAsia="es-EC"/>
            </w:rPr>
            <w:drawing>
              <wp:anchor distT="0" distB="0" distL="114300" distR="114300" simplePos="0" relativeHeight="251658240" behindDoc="0" locked="0" layoutInCell="1" allowOverlap="1" wp14:anchorId="36562B70" wp14:editId="22CD41E7">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923" w:type="dxa"/>
          <w:vMerge w:val="restart"/>
          <w:shd w:val="clear" w:color="auto" w:fill="auto"/>
          <w:vAlign w:val="center"/>
        </w:tcPr>
        <w:p w:rsidR="00E43228" w:rsidRPr="009329F8" w:rsidRDefault="00E43228" w:rsidP="006A39CE">
          <w:pPr>
            <w:jc w:val="center"/>
            <w:rPr>
              <w:rFonts w:ascii="Century Gothic" w:hAnsi="Century Gothic"/>
              <w:b/>
              <w:sz w:val="16"/>
            </w:rPr>
          </w:pPr>
          <w:r w:rsidRPr="009329F8">
            <w:rPr>
              <w:rFonts w:ascii="Century Gothic" w:hAnsi="Century Gothic"/>
              <w:b/>
              <w:sz w:val="16"/>
            </w:rPr>
            <w:t>FICHA METODOLÓGICA</w:t>
          </w:r>
        </w:p>
      </w:tc>
      <w:tc>
        <w:tcPr>
          <w:tcW w:w="4091" w:type="dxa"/>
          <w:vAlign w:val="center"/>
        </w:tcPr>
        <w:p w:rsidR="00E43228" w:rsidRPr="009329F8" w:rsidRDefault="002521D1" w:rsidP="002521D1">
          <w:pPr>
            <w:tabs>
              <w:tab w:val="right" w:pos="2253"/>
            </w:tabs>
            <w:rPr>
              <w:rFonts w:ascii="Century Gothic" w:hAnsi="Century Gothic"/>
              <w:b/>
              <w:sz w:val="16"/>
            </w:rPr>
          </w:pPr>
          <w:r w:rsidRPr="009329F8">
            <w:rPr>
              <w:rFonts w:ascii="Century Gothic" w:hAnsi="Century Gothic"/>
              <w:b/>
              <w:sz w:val="16"/>
            </w:rPr>
            <w:t xml:space="preserve">Nombre: </w:t>
          </w:r>
          <w:r w:rsidR="00E43228" w:rsidRPr="009329F8">
            <w:rPr>
              <w:rFonts w:ascii="Century Gothic" w:hAnsi="Century Gothic"/>
              <w:b/>
              <w:sz w:val="16"/>
            </w:rPr>
            <w:t>Cuenta</w:t>
          </w:r>
          <w:r w:rsidR="006C2A67">
            <w:rPr>
              <w:rFonts w:ascii="Century Gothic" w:hAnsi="Century Gothic"/>
              <w:b/>
              <w:sz w:val="16"/>
            </w:rPr>
            <w:t>s</w:t>
          </w:r>
          <w:r w:rsidR="00E43228" w:rsidRPr="009329F8">
            <w:rPr>
              <w:rFonts w:ascii="Century Gothic" w:hAnsi="Century Gothic"/>
              <w:b/>
              <w:sz w:val="16"/>
            </w:rPr>
            <w:t xml:space="preserve"> Satélite</w:t>
          </w:r>
          <w:r w:rsidRPr="009329F8">
            <w:rPr>
              <w:rFonts w:ascii="Century Gothic" w:hAnsi="Century Gothic"/>
              <w:b/>
              <w:sz w:val="16"/>
            </w:rPr>
            <w:t xml:space="preserve"> </w:t>
          </w:r>
          <w:r w:rsidR="00E43228" w:rsidRPr="009329F8">
            <w:rPr>
              <w:rFonts w:ascii="Century Gothic" w:hAnsi="Century Gothic"/>
              <w:b/>
              <w:sz w:val="16"/>
            </w:rPr>
            <w:t>de Salud</w:t>
          </w:r>
          <w:r w:rsidR="00D53653">
            <w:rPr>
              <w:rFonts w:ascii="Century Gothic" w:hAnsi="Century Gothic"/>
              <w:b/>
              <w:sz w:val="16"/>
            </w:rPr>
            <w:t xml:space="preserve"> (CSS)</w:t>
          </w:r>
        </w:p>
      </w:tc>
      <w:tc>
        <w:tcPr>
          <w:tcW w:w="1607" w:type="dxa"/>
          <w:shd w:val="clear" w:color="auto" w:fill="auto"/>
          <w:vAlign w:val="center"/>
        </w:tcPr>
        <w:p w:rsidR="00E43228" w:rsidRPr="00F75E05" w:rsidRDefault="00D2342C" w:rsidP="00CB4DD9">
          <w:pPr>
            <w:tabs>
              <w:tab w:val="right" w:pos="2253"/>
            </w:tabs>
            <w:jc w:val="center"/>
            <w:rPr>
              <w:rFonts w:ascii="Century Gothic" w:hAnsi="Century Gothic"/>
              <w:sz w:val="16"/>
              <w:highlight w:val="yellow"/>
            </w:rPr>
          </w:pPr>
          <w:r w:rsidRPr="00307B2E">
            <w:rPr>
              <w:rFonts w:ascii="Century Gothic" w:hAnsi="Century Gothic"/>
              <w:b/>
              <w:sz w:val="16"/>
            </w:rPr>
            <w:t>Versión</w:t>
          </w:r>
          <w:r w:rsidR="00307B2E" w:rsidRPr="00307B2E">
            <w:rPr>
              <w:rFonts w:ascii="Century Gothic" w:hAnsi="Century Gothic"/>
              <w:b/>
              <w:sz w:val="16"/>
            </w:rPr>
            <w:t xml:space="preserve"> 1</w:t>
          </w:r>
        </w:p>
      </w:tc>
    </w:tr>
    <w:tr w:rsidR="00546ACE" w:rsidRPr="004B60A7" w:rsidTr="006C2A67">
      <w:trPr>
        <w:trHeight w:val="272"/>
      </w:trPr>
      <w:tc>
        <w:tcPr>
          <w:tcW w:w="2422" w:type="dxa"/>
          <w:vMerge/>
          <w:shd w:val="clear" w:color="auto" w:fill="auto"/>
        </w:tcPr>
        <w:p w:rsidR="00546ACE" w:rsidRPr="00F9306E" w:rsidRDefault="00546ACE" w:rsidP="006A39CE">
          <w:pPr>
            <w:jc w:val="center"/>
            <w:rPr>
              <w:noProof/>
              <w:lang w:eastAsia="es-EC"/>
            </w:rPr>
          </w:pPr>
        </w:p>
      </w:tc>
      <w:tc>
        <w:tcPr>
          <w:tcW w:w="923" w:type="dxa"/>
          <w:vMerge/>
          <w:shd w:val="clear" w:color="auto" w:fill="auto"/>
        </w:tcPr>
        <w:p w:rsidR="00546ACE" w:rsidRPr="009329F8" w:rsidRDefault="00546ACE" w:rsidP="006A39CE">
          <w:pPr>
            <w:jc w:val="center"/>
            <w:rPr>
              <w:rFonts w:ascii="Century Gothic" w:hAnsi="Century Gothic"/>
              <w:b/>
              <w:sz w:val="16"/>
              <w:u w:val="single"/>
            </w:rPr>
          </w:pPr>
        </w:p>
      </w:tc>
      <w:tc>
        <w:tcPr>
          <w:tcW w:w="4091" w:type="dxa"/>
          <w:vAlign w:val="center"/>
        </w:tcPr>
        <w:p w:rsidR="00752576" w:rsidRDefault="00752576" w:rsidP="00CB4DD9">
          <w:pPr>
            <w:tabs>
              <w:tab w:val="right" w:pos="2253"/>
            </w:tabs>
            <w:spacing w:before="120"/>
            <w:rPr>
              <w:rFonts w:ascii="Century Gothic" w:hAnsi="Century Gothic"/>
              <w:sz w:val="16"/>
            </w:rPr>
          </w:pPr>
          <w:r>
            <w:rPr>
              <w:rFonts w:ascii="Century Gothic" w:hAnsi="Century Gothic"/>
              <w:b/>
              <w:sz w:val="16"/>
            </w:rPr>
            <w:t>SECTOR INSTITUCIONAL:</w:t>
          </w:r>
          <w:r>
            <w:rPr>
              <w:rFonts w:ascii="Century Gothic" w:hAnsi="Century Gothic"/>
              <w:sz w:val="16"/>
            </w:rPr>
            <w:t xml:space="preserve"> S14 Hogares</w:t>
          </w:r>
        </w:p>
        <w:p w:rsidR="00752576" w:rsidRDefault="00752576" w:rsidP="00752576">
          <w:pPr>
            <w:tabs>
              <w:tab w:val="right" w:pos="2253"/>
            </w:tabs>
            <w:rPr>
              <w:rFonts w:ascii="Century Gothic" w:hAnsi="Century Gothic"/>
              <w:b/>
              <w:sz w:val="16"/>
            </w:rPr>
          </w:pPr>
          <w:r>
            <w:rPr>
              <w:rFonts w:ascii="Century Gothic" w:hAnsi="Century Gothic"/>
              <w:b/>
              <w:sz w:val="16"/>
            </w:rPr>
            <w:t xml:space="preserve">Nivel 2: </w:t>
          </w:r>
        </w:p>
        <w:p w:rsidR="00752576" w:rsidRDefault="00752576" w:rsidP="00752576">
          <w:pPr>
            <w:tabs>
              <w:tab w:val="right" w:pos="2253"/>
            </w:tabs>
            <w:rPr>
              <w:rFonts w:ascii="Century Gothic" w:hAnsi="Century Gothic"/>
              <w:b/>
              <w:sz w:val="16"/>
            </w:rPr>
          </w:pPr>
          <w:r>
            <w:rPr>
              <w:rFonts w:ascii="Century Gothic" w:hAnsi="Century Gothic"/>
              <w:b/>
              <w:sz w:val="16"/>
            </w:rPr>
            <w:t xml:space="preserve">Nivel 3: </w:t>
          </w:r>
        </w:p>
        <w:p w:rsidR="00752576" w:rsidRDefault="00752576" w:rsidP="00752576">
          <w:pPr>
            <w:tabs>
              <w:tab w:val="right" w:pos="2253"/>
            </w:tabs>
            <w:rPr>
              <w:rFonts w:ascii="Century Gothic" w:hAnsi="Century Gothic"/>
              <w:b/>
              <w:sz w:val="16"/>
            </w:rPr>
          </w:pPr>
          <w:r>
            <w:rPr>
              <w:rFonts w:ascii="Century Gothic" w:hAnsi="Century Gothic"/>
              <w:b/>
              <w:sz w:val="16"/>
            </w:rPr>
            <w:t xml:space="preserve">Nivel 4: </w:t>
          </w:r>
        </w:p>
        <w:p w:rsidR="00546ACE" w:rsidRPr="009329F8" w:rsidRDefault="00752576" w:rsidP="00CB4DD9">
          <w:pPr>
            <w:tabs>
              <w:tab w:val="right" w:pos="2253"/>
            </w:tabs>
            <w:spacing w:after="120"/>
            <w:rPr>
              <w:rFonts w:ascii="Century Gothic" w:hAnsi="Century Gothic"/>
              <w:sz w:val="16"/>
            </w:rPr>
          </w:pPr>
          <w:r>
            <w:rPr>
              <w:rFonts w:ascii="Century Gothic" w:hAnsi="Century Gothic"/>
              <w:b/>
              <w:sz w:val="16"/>
            </w:rPr>
            <w:t xml:space="preserve">Nivel 5: </w:t>
          </w:r>
          <w:r>
            <w:rPr>
              <w:rFonts w:ascii="Century Gothic" w:hAnsi="Century Gothic"/>
              <w:sz w:val="16"/>
            </w:rPr>
            <w:t>Hogares Productores</w:t>
          </w:r>
        </w:p>
      </w:tc>
      <w:tc>
        <w:tcPr>
          <w:tcW w:w="1607" w:type="dxa"/>
          <w:shd w:val="clear" w:color="auto" w:fill="auto"/>
          <w:vAlign w:val="center"/>
        </w:tcPr>
        <w:p w:rsidR="00546ACE" w:rsidRPr="00F75E05" w:rsidRDefault="00546ACE" w:rsidP="0099143B">
          <w:pPr>
            <w:tabs>
              <w:tab w:val="right" w:pos="2253"/>
            </w:tabs>
            <w:rPr>
              <w:rFonts w:ascii="Century Gothic" w:hAnsi="Century Gothic"/>
              <w:sz w:val="16"/>
              <w:highlight w:val="yellow"/>
            </w:rPr>
          </w:pPr>
        </w:p>
      </w:tc>
    </w:tr>
    <w:tr w:rsidR="00307B2E" w:rsidRPr="004B60A7" w:rsidTr="006C2A67">
      <w:trPr>
        <w:trHeight w:val="276"/>
      </w:trPr>
      <w:tc>
        <w:tcPr>
          <w:tcW w:w="2422" w:type="dxa"/>
          <w:vMerge/>
          <w:shd w:val="clear" w:color="auto" w:fill="auto"/>
        </w:tcPr>
        <w:p w:rsidR="00307B2E" w:rsidRPr="00F9306E" w:rsidRDefault="00307B2E" w:rsidP="006A39CE">
          <w:pPr>
            <w:jc w:val="center"/>
            <w:rPr>
              <w:noProof/>
              <w:lang w:eastAsia="es-EC"/>
            </w:rPr>
          </w:pPr>
        </w:p>
      </w:tc>
      <w:tc>
        <w:tcPr>
          <w:tcW w:w="923" w:type="dxa"/>
          <w:vMerge/>
          <w:shd w:val="clear" w:color="auto" w:fill="auto"/>
        </w:tcPr>
        <w:p w:rsidR="00307B2E" w:rsidRPr="009329F8" w:rsidRDefault="00307B2E" w:rsidP="006A39CE">
          <w:pPr>
            <w:jc w:val="center"/>
            <w:rPr>
              <w:rFonts w:ascii="Century Gothic" w:hAnsi="Century Gothic"/>
              <w:b/>
              <w:sz w:val="16"/>
              <w:u w:val="single"/>
            </w:rPr>
          </w:pPr>
        </w:p>
      </w:tc>
      <w:tc>
        <w:tcPr>
          <w:tcW w:w="4091" w:type="dxa"/>
          <w:vAlign w:val="center"/>
        </w:tcPr>
        <w:p w:rsidR="00307B2E" w:rsidRPr="009329F8" w:rsidRDefault="00307B2E" w:rsidP="009B5894">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607" w:type="dxa"/>
          <w:shd w:val="clear" w:color="auto" w:fill="auto"/>
          <w:vAlign w:val="center"/>
        </w:tcPr>
        <w:p w:rsidR="00307B2E" w:rsidRPr="00D74A47" w:rsidRDefault="00307B2E" w:rsidP="002B5759">
          <w:pPr>
            <w:tabs>
              <w:tab w:val="right" w:pos="2253"/>
            </w:tabs>
            <w:rPr>
              <w:rFonts w:ascii="Century Gothic" w:hAnsi="Century Gothic"/>
              <w:sz w:val="16"/>
            </w:rPr>
          </w:pPr>
          <w:r>
            <w:rPr>
              <w:rFonts w:ascii="Century Gothic" w:hAnsi="Century Gothic"/>
              <w:sz w:val="16"/>
            </w:rPr>
            <w:t xml:space="preserve">Páginas: </w:t>
          </w:r>
          <w:r w:rsidRPr="00662EE0">
            <w:rPr>
              <w:rFonts w:ascii="Century Gothic" w:hAnsi="Century Gothic"/>
              <w:sz w:val="16"/>
            </w:rPr>
            <w:fldChar w:fldCharType="begin"/>
          </w:r>
          <w:r w:rsidRPr="00662EE0">
            <w:rPr>
              <w:rFonts w:ascii="Century Gothic" w:hAnsi="Century Gothic"/>
              <w:sz w:val="16"/>
            </w:rPr>
            <w:instrText>PAGE   \* MERGEFORMAT</w:instrText>
          </w:r>
          <w:r w:rsidRPr="00662EE0">
            <w:rPr>
              <w:rFonts w:ascii="Century Gothic" w:hAnsi="Century Gothic"/>
              <w:sz w:val="16"/>
            </w:rPr>
            <w:fldChar w:fldCharType="separate"/>
          </w:r>
          <w:r w:rsidR="001A1FFF">
            <w:rPr>
              <w:rFonts w:ascii="Century Gothic" w:hAnsi="Century Gothic"/>
              <w:noProof/>
              <w:sz w:val="16"/>
            </w:rPr>
            <w:t>9</w:t>
          </w:r>
          <w:r w:rsidRPr="00662EE0">
            <w:rPr>
              <w:rFonts w:ascii="Century Gothic" w:hAnsi="Century Gothic"/>
              <w:sz w:val="16"/>
            </w:rPr>
            <w:fldChar w:fldCharType="end"/>
          </w:r>
          <w:r w:rsidR="00DB56B1">
            <w:rPr>
              <w:rFonts w:ascii="Century Gothic" w:hAnsi="Century Gothic"/>
              <w:sz w:val="16"/>
            </w:rPr>
            <w:t xml:space="preserve"> de </w:t>
          </w:r>
          <w:r w:rsidR="001A1FFF">
            <w:rPr>
              <w:rFonts w:ascii="Century Gothic" w:hAnsi="Century Gothic"/>
              <w:sz w:val="16"/>
            </w:rPr>
            <w:t>9</w:t>
          </w:r>
          <w:bookmarkStart w:id="0" w:name="_GoBack"/>
          <w:bookmarkEnd w:id="0"/>
        </w:p>
      </w:tc>
    </w:tr>
  </w:tbl>
  <w:p w:rsidR="001E61E6" w:rsidRPr="007D52DD" w:rsidRDefault="001E61E6">
    <w:pPr>
      <w:pStyle w:val="Encabezado"/>
      <w:rPr>
        <w:lang w:val="es-EC"/>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FFF" w:rsidRDefault="001A1FF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C5112AF"/>
    <w:multiLevelType w:val="hybridMultilevel"/>
    <w:tmpl w:val="14A415A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42921868"/>
    <w:multiLevelType w:val="hybridMultilevel"/>
    <w:tmpl w:val="25E8B61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47F7906"/>
    <w:multiLevelType w:val="hybridMultilevel"/>
    <w:tmpl w:val="514088EA"/>
    <w:lvl w:ilvl="0" w:tplc="CED08FBE">
      <w:start w:val="1"/>
      <w:numFmt w:val="bullet"/>
      <w:lvlText w:val=""/>
      <w:lvlJc w:val="left"/>
      <w:pPr>
        <w:tabs>
          <w:tab w:val="num" w:pos="1440"/>
        </w:tabs>
        <w:ind w:left="144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46F9125A"/>
    <w:multiLevelType w:val="hybridMultilevel"/>
    <w:tmpl w:val="9A9A981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9D47FC5"/>
    <w:multiLevelType w:val="hybridMultilevel"/>
    <w:tmpl w:val="1E562A4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5C6773B"/>
    <w:multiLevelType w:val="hybridMultilevel"/>
    <w:tmpl w:val="B5D2AD1E"/>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7CB615C3"/>
    <w:multiLevelType w:val="hybridMultilevel"/>
    <w:tmpl w:val="3B68566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4"/>
  </w:num>
  <w:num w:numId="6">
    <w:abstractNumId w:val="15"/>
  </w:num>
  <w:num w:numId="7">
    <w:abstractNumId w:val="1"/>
  </w:num>
  <w:num w:numId="8">
    <w:abstractNumId w:val="4"/>
  </w:num>
  <w:num w:numId="9">
    <w:abstractNumId w:val="2"/>
  </w:num>
  <w:num w:numId="10">
    <w:abstractNumId w:val="5"/>
  </w:num>
  <w:num w:numId="11">
    <w:abstractNumId w:val="12"/>
  </w:num>
  <w:num w:numId="12">
    <w:abstractNumId w:val="17"/>
  </w:num>
  <w:num w:numId="13">
    <w:abstractNumId w:val="7"/>
  </w:num>
  <w:num w:numId="14">
    <w:abstractNumId w:val="3"/>
  </w:num>
  <w:num w:numId="15">
    <w:abstractNumId w:val="8"/>
  </w:num>
  <w:num w:numId="16">
    <w:abstractNumId w:val="9"/>
  </w:num>
  <w:num w:numId="17">
    <w:abstractNumId w:val="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11624F"/>
    <w:rsid w:val="000078AC"/>
    <w:rsid w:val="000125E5"/>
    <w:rsid w:val="00033A7C"/>
    <w:rsid w:val="0005695C"/>
    <w:rsid w:val="00060B02"/>
    <w:rsid w:val="000742D5"/>
    <w:rsid w:val="00080CCB"/>
    <w:rsid w:val="0008424A"/>
    <w:rsid w:val="00092BBF"/>
    <w:rsid w:val="000966EA"/>
    <w:rsid w:val="000A1DBE"/>
    <w:rsid w:val="000A5B0A"/>
    <w:rsid w:val="000B3A7F"/>
    <w:rsid w:val="000B50E0"/>
    <w:rsid w:val="000C01D1"/>
    <w:rsid w:val="000E52CE"/>
    <w:rsid w:val="000E5BF3"/>
    <w:rsid w:val="000E7348"/>
    <w:rsid w:val="000F7D81"/>
    <w:rsid w:val="00106810"/>
    <w:rsid w:val="001149C7"/>
    <w:rsid w:val="0011624F"/>
    <w:rsid w:val="00126B61"/>
    <w:rsid w:val="00143242"/>
    <w:rsid w:val="00147221"/>
    <w:rsid w:val="00175F15"/>
    <w:rsid w:val="0018477A"/>
    <w:rsid w:val="001A1AFA"/>
    <w:rsid w:val="001A1FFF"/>
    <w:rsid w:val="001A5BE5"/>
    <w:rsid w:val="001C1D16"/>
    <w:rsid w:val="001C2F4E"/>
    <w:rsid w:val="001D1B9D"/>
    <w:rsid w:val="001E61E6"/>
    <w:rsid w:val="001E7447"/>
    <w:rsid w:val="001E781F"/>
    <w:rsid w:val="0021055D"/>
    <w:rsid w:val="00220C0B"/>
    <w:rsid w:val="00231304"/>
    <w:rsid w:val="00234BF0"/>
    <w:rsid w:val="002407A4"/>
    <w:rsid w:val="002520C1"/>
    <w:rsid w:val="002521D1"/>
    <w:rsid w:val="0025612F"/>
    <w:rsid w:val="00260679"/>
    <w:rsid w:val="00280C9F"/>
    <w:rsid w:val="00282270"/>
    <w:rsid w:val="0029094C"/>
    <w:rsid w:val="00297267"/>
    <w:rsid w:val="002B5759"/>
    <w:rsid w:val="002C328A"/>
    <w:rsid w:val="002D01DF"/>
    <w:rsid w:val="003007DB"/>
    <w:rsid w:val="00304C1A"/>
    <w:rsid w:val="00307B2E"/>
    <w:rsid w:val="00307DBD"/>
    <w:rsid w:val="0031355D"/>
    <w:rsid w:val="003158AE"/>
    <w:rsid w:val="003172DD"/>
    <w:rsid w:val="0032294E"/>
    <w:rsid w:val="00326AF7"/>
    <w:rsid w:val="0033324C"/>
    <w:rsid w:val="00334F26"/>
    <w:rsid w:val="0034018B"/>
    <w:rsid w:val="003749C8"/>
    <w:rsid w:val="003759E7"/>
    <w:rsid w:val="00381919"/>
    <w:rsid w:val="00383E83"/>
    <w:rsid w:val="00390A3A"/>
    <w:rsid w:val="00397EF7"/>
    <w:rsid w:val="003A3092"/>
    <w:rsid w:val="003C2F4C"/>
    <w:rsid w:val="003D5B36"/>
    <w:rsid w:val="004045C8"/>
    <w:rsid w:val="00410A0A"/>
    <w:rsid w:val="00420C88"/>
    <w:rsid w:val="0043045D"/>
    <w:rsid w:val="0043464C"/>
    <w:rsid w:val="00435C50"/>
    <w:rsid w:val="00454593"/>
    <w:rsid w:val="00455041"/>
    <w:rsid w:val="00463DEB"/>
    <w:rsid w:val="004724C7"/>
    <w:rsid w:val="00474BB1"/>
    <w:rsid w:val="004759AF"/>
    <w:rsid w:val="00482714"/>
    <w:rsid w:val="004909B4"/>
    <w:rsid w:val="004910A1"/>
    <w:rsid w:val="004944A6"/>
    <w:rsid w:val="00496E62"/>
    <w:rsid w:val="004B0704"/>
    <w:rsid w:val="004C2B0C"/>
    <w:rsid w:val="004C57A3"/>
    <w:rsid w:val="004C708F"/>
    <w:rsid w:val="004D2642"/>
    <w:rsid w:val="004D2EAC"/>
    <w:rsid w:val="004D6539"/>
    <w:rsid w:val="004D6B36"/>
    <w:rsid w:val="004E034B"/>
    <w:rsid w:val="004E31D0"/>
    <w:rsid w:val="004E6558"/>
    <w:rsid w:val="004F163C"/>
    <w:rsid w:val="00503695"/>
    <w:rsid w:val="00512183"/>
    <w:rsid w:val="00517F5E"/>
    <w:rsid w:val="0052601B"/>
    <w:rsid w:val="00546ACE"/>
    <w:rsid w:val="00552DBA"/>
    <w:rsid w:val="0056330D"/>
    <w:rsid w:val="00566D13"/>
    <w:rsid w:val="005804C1"/>
    <w:rsid w:val="0059078C"/>
    <w:rsid w:val="00594B3C"/>
    <w:rsid w:val="005A0489"/>
    <w:rsid w:val="005B1B02"/>
    <w:rsid w:val="005C3B2F"/>
    <w:rsid w:val="005C7E91"/>
    <w:rsid w:val="005D1462"/>
    <w:rsid w:val="005E3C40"/>
    <w:rsid w:val="005F236D"/>
    <w:rsid w:val="005F52C7"/>
    <w:rsid w:val="00613189"/>
    <w:rsid w:val="00617CF3"/>
    <w:rsid w:val="00627F54"/>
    <w:rsid w:val="006379DF"/>
    <w:rsid w:val="00640E99"/>
    <w:rsid w:val="0064134D"/>
    <w:rsid w:val="00662EE0"/>
    <w:rsid w:val="00675E9A"/>
    <w:rsid w:val="006A0385"/>
    <w:rsid w:val="006A39CE"/>
    <w:rsid w:val="006A7E9A"/>
    <w:rsid w:val="006C2A67"/>
    <w:rsid w:val="006C380F"/>
    <w:rsid w:val="006C6235"/>
    <w:rsid w:val="006E11AE"/>
    <w:rsid w:val="006E4721"/>
    <w:rsid w:val="006F3C76"/>
    <w:rsid w:val="00710B5F"/>
    <w:rsid w:val="007132C2"/>
    <w:rsid w:val="007415AB"/>
    <w:rsid w:val="00746C3F"/>
    <w:rsid w:val="00747426"/>
    <w:rsid w:val="00752576"/>
    <w:rsid w:val="00757B9E"/>
    <w:rsid w:val="00765141"/>
    <w:rsid w:val="00792D00"/>
    <w:rsid w:val="007979B3"/>
    <w:rsid w:val="007A15C7"/>
    <w:rsid w:val="007C0272"/>
    <w:rsid w:val="007D05E6"/>
    <w:rsid w:val="007D52DD"/>
    <w:rsid w:val="007E7852"/>
    <w:rsid w:val="008020C1"/>
    <w:rsid w:val="0080228D"/>
    <w:rsid w:val="008058C3"/>
    <w:rsid w:val="00810A61"/>
    <w:rsid w:val="00811A80"/>
    <w:rsid w:val="008125A1"/>
    <w:rsid w:val="00815427"/>
    <w:rsid w:val="00845F7D"/>
    <w:rsid w:val="008511E9"/>
    <w:rsid w:val="00865EB3"/>
    <w:rsid w:val="008B1150"/>
    <w:rsid w:val="008C48AE"/>
    <w:rsid w:val="008D4B7D"/>
    <w:rsid w:val="008D5409"/>
    <w:rsid w:val="008F3734"/>
    <w:rsid w:val="009036BF"/>
    <w:rsid w:val="00906FC9"/>
    <w:rsid w:val="009329F8"/>
    <w:rsid w:val="00935CAD"/>
    <w:rsid w:val="009523A7"/>
    <w:rsid w:val="00965ED3"/>
    <w:rsid w:val="0096637E"/>
    <w:rsid w:val="009700F1"/>
    <w:rsid w:val="00977559"/>
    <w:rsid w:val="009822CB"/>
    <w:rsid w:val="00983BC7"/>
    <w:rsid w:val="0099143B"/>
    <w:rsid w:val="00994BB6"/>
    <w:rsid w:val="009A3DF6"/>
    <w:rsid w:val="009B153C"/>
    <w:rsid w:val="009B32D8"/>
    <w:rsid w:val="009B45FF"/>
    <w:rsid w:val="009C0A42"/>
    <w:rsid w:val="009D569B"/>
    <w:rsid w:val="009E1C68"/>
    <w:rsid w:val="009F47E1"/>
    <w:rsid w:val="00A228EE"/>
    <w:rsid w:val="00A42298"/>
    <w:rsid w:val="00A47768"/>
    <w:rsid w:val="00A53142"/>
    <w:rsid w:val="00A54F22"/>
    <w:rsid w:val="00A5629A"/>
    <w:rsid w:val="00A74FDC"/>
    <w:rsid w:val="00A815F6"/>
    <w:rsid w:val="00A87C60"/>
    <w:rsid w:val="00A91DF0"/>
    <w:rsid w:val="00A94DA6"/>
    <w:rsid w:val="00AB1C70"/>
    <w:rsid w:val="00AC49A3"/>
    <w:rsid w:val="00AC7899"/>
    <w:rsid w:val="00AD5299"/>
    <w:rsid w:val="00AF088F"/>
    <w:rsid w:val="00AF1749"/>
    <w:rsid w:val="00AF22B1"/>
    <w:rsid w:val="00AF3335"/>
    <w:rsid w:val="00B02350"/>
    <w:rsid w:val="00B07A11"/>
    <w:rsid w:val="00B103A4"/>
    <w:rsid w:val="00B146DB"/>
    <w:rsid w:val="00B467E5"/>
    <w:rsid w:val="00B56717"/>
    <w:rsid w:val="00B77539"/>
    <w:rsid w:val="00BA04B9"/>
    <w:rsid w:val="00BB0EEC"/>
    <w:rsid w:val="00BB4335"/>
    <w:rsid w:val="00BB4705"/>
    <w:rsid w:val="00BB5585"/>
    <w:rsid w:val="00BD3421"/>
    <w:rsid w:val="00BE0FAE"/>
    <w:rsid w:val="00BE38BC"/>
    <w:rsid w:val="00BF786C"/>
    <w:rsid w:val="00C17FA6"/>
    <w:rsid w:val="00C24497"/>
    <w:rsid w:val="00C25FEC"/>
    <w:rsid w:val="00C323E0"/>
    <w:rsid w:val="00C332B3"/>
    <w:rsid w:val="00C37654"/>
    <w:rsid w:val="00C37F28"/>
    <w:rsid w:val="00C47A1F"/>
    <w:rsid w:val="00C55373"/>
    <w:rsid w:val="00C60AC8"/>
    <w:rsid w:val="00C62662"/>
    <w:rsid w:val="00C640EC"/>
    <w:rsid w:val="00C72478"/>
    <w:rsid w:val="00C769E6"/>
    <w:rsid w:val="00C80DB2"/>
    <w:rsid w:val="00CA0B07"/>
    <w:rsid w:val="00CA6AC4"/>
    <w:rsid w:val="00CB4DD9"/>
    <w:rsid w:val="00CC1DA9"/>
    <w:rsid w:val="00CC7FC9"/>
    <w:rsid w:val="00CE0885"/>
    <w:rsid w:val="00CF3AED"/>
    <w:rsid w:val="00D01F56"/>
    <w:rsid w:val="00D0251C"/>
    <w:rsid w:val="00D076DC"/>
    <w:rsid w:val="00D107FD"/>
    <w:rsid w:val="00D1396F"/>
    <w:rsid w:val="00D21358"/>
    <w:rsid w:val="00D232EC"/>
    <w:rsid w:val="00D2342C"/>
    <w:rsid w:val="00D27611"/>
    <w:rsid w:val="00D423CB"/>
    <w:rsid w:val="00D44900"/>
    <w:rsid w:val="00D51F26"/>
    <w:rsid w:val="00D53653"/>
    <w:rsid w:val="00D7232B"/>
    <w:rsid w:val="00D81074"/>
    <w:rsid w:val="00D914BC"/>
    <w:rsid w:val="00D96841"/>
    <w:rsid w:val="00DA2882"/>
    <w:rsid w:val="00DB56B1"/>
    <w:rsid w:val="00DC5743"/>
    <w:rsid w:val="00DE05FC"/>
    <w:rsid w:val="00DE7C6B"/>
    <w:rsid w:val="00DF1A67"/>
    <w:rsid w:val="00DF3E82"/>
    <w:rsid w:val="00DF7424"/>
    <w:rsid w:val="00E01A1A"/>
    <w:rsid w:val="00E0227D"/>
    <w:rsid w:val="00E05721"/>
    <w:rsid w:val="00E05929"/>
    <w:rsid w:val="00E06821"/>
    <w:rsid w:val="00E07F23"/>
    <w:rsid w:val="00E11153"/>
    <w:rsid w:val="00E16229"/>
    <w:rsid w:val="00E30EE0"/>
    <w:rsid w:val="00E37032"/>
    <w:rsid w:val="00E43228"/>
    <w:rsid w:val="00E618AF"/>
    <w:rsid w:val="00E67789"/>
    <w:rsid w:val="00E946C1"/>
    <w:rsid w:val="00E97D08"/>
    <w:rsid w:val="00EA1C13"/>
    <w:rsid w:val="00EA4FAC"/>
    <w:rsid w:val="00EC1EA9"/>
    <w:rsid w:val="00EC2629"/>
    <w:rsid w:val="00EC6B26"/>
    <w:rsid w:val="00ED1F22"/>
    <w:rsid w:val="00ED41DB"/>
    <w:rsid w:val="00EF7A79"/>
    <w:rsid w:val="00F0782F"/>
    <w:rsid w:val="00F35F13"/>
    <w:rsid w:val="00F41B6C"/>
    <w:rsid w:val="00F41C1B"/>
    <w:rsid w:val="00F544E3"/>
    <w:rsid w:val="00F65A2D"/>
    <w:rsid w:val="00F74952"/>
    <w:rsid w:val="00F759F2"/>
    <w:rsid w:val="00F75E05"/>
    <w:rsid w:val="00F75E8E"/>
    <w:rsid w:val="00F803F1"/>
    <w:rsid w:val="00F805E8"/>
    <w:rsid w:val="00F82D41"/>
    <w:rsid w:val="00F979E6"/>
    <w:rsid w:val="00FB1226"/>
    <w:rsid w:val="00FD1691"/>
    <w:rsid w:val="00FD6058"/>
    <w:rsid w:val="00FF0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 w:type="character" w:styleId="Textodelmarcadordeposicin">
    <w:name w:val="Placeholder Text"/>
    <w:basedOn w:val="Fuentedeprrafopredeter"/>
    <w:uiPriority w:val="99"/>
    <w:semiHidden/>
    <w:rsid w:val="0029726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22">
      <w:bodyDiv w:val="1"/>
      <w:marLeft w:val="0"/>
      <w:marRight w:val="0"/>
      <w:marTop w:val="0"/>
      <w:marBottom w:val="0"/>
      <w:divBdr>
        <w:top w:val="none" w:sz="0" w:space="0" w:color="auto"/>
        <w:left w:val="none" w:sz="0" w:space="0" w:color="auto"/>
        <w:bottom w:val="none" w:sz="0" w:space="0" w:color="auto"/>
        <w:right w:val="none" w:sz="0" w:space="0" w:color="auto"/>
      </w:divBdr>
    </w:div>
    <w:div w:id="4787962">
      <w:bodyDiv w:val="1"/>
      <w:marLeft w:val="0"/>
      <w:marRight w:val="0"/>
      <w:marTop w:val="0"/>
      <w:marBottom w:val="0"/>
      <w:divBdr>
        <w:top w:val="none" w:sz="0" w:space="0" w:color="auto"/>
        <w:left w:val="none" w:sz="0" w:space="0" w:color="auto"/>
        <w:bottom w:val="none" w:sz="0" w:space="0" w:color="auto"/>
        <w:right w:val="none" w:sz="0" w:space="0" w:color="auto"/>
      </w:divBdr>
    </w:div>
    <w:div w:id="53822129">
      <w:bodyDiv w:val="1"/>
      <w:marLeft w:val="0"/>
      <w:marRight w:val="0"/>
      <w:marTop w:val="0"/>
      <w:marBottom w:val="0"/>
      <w:divBdr>
        <w:top w:val="none" w:sz="0" w:space="0" w:color="auto"/>
        <w:left w:val="none" w:sz="0" w:space="0" w:color="auto"/>
        <w:bottom w:val="none" w:sz="0" w:space="0" w:color="auto"/>
        <w:right w:val="none" w:sz="0" w:space="0" w:color="auto"/>
      </w:divBdr>
    </w:div>
    <w:div w:id="56756433">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28284787">
      <w:bodyDiv w:val="1"/>
      <w:marLeft w:val="0"/>
      <w:marRight w:val="0"/>
      <w:marTop w:val="0"/>
      <w:marBottom w:val="0"/>
      <w:divBdr>
        <w:top w:val="none" w:sz="0" w:space="0" w:color="auto"/>
        <w:left w:val="none" w:sz="0" w:space="0" w:color="auto"/>
        <w:bottom w:val="none" w:sz="0" w:space="0" w:color="auto"/>
        <w:right w:val="none" w:sz="0" w:space="0" w:color="auto"/>
      </w:divBdr>
    </w:div>
    <w:div w:id="148448585">
      <w:bodyDiv w:val="1"/>
      <w:marLeft w:val="0"/>
      <w:marRight w:val="0"/>
      <w:marTop w:val="0"/>
      <w:marBottom w:val="0"/>
      <w:divBdr>
        <w:top w:val="none" w:sz="0" w:space="0" w:color="auto"/>
        <w:left w:val="none" w:sz="0" w:space="0" w:color="auto"/>
        <w:bottom w:val="none" w:sz="0" w:space="0" w:color="auto"/>
        <w:right w:val="none" w:sz="0" w:space="0" w:color="auto"/>
      </w:divBdr>
    </w:div>
    <w:div w:id="169836539">
      <w:bodyDiv w:val="1"/>
      <w:marLeft w:val="0"/>
      <w:marRight w:val="0"/>
      <w:marTop w:val="0"/>
      <w:marBottom w:val="0"/>
      <w:divBdr>
        <w:top w:val="none" w:sz="0" w:space="0" w:color="auto"/>
        <w:left w:val="none" w:sz="0" w:space="0" w:color="auto"/>
        <w:bottom w:val="none" w:sz="0" w:space="0" w:color="auto"/>
        <w:right w:val="none" w:sz="0" w:space="0" w:color="auto"/>
      </w:divBdr>
    </w:div>
    <w:div w:id="256528256">
      <w:bodyDiv w:val="1"/>
      <w:marLeft w:val="0"/>
      <w:marRight w:val="0"/>
      <w:marTop w:val="0"/>
      <w:marBottom w:val="0"/>
      <w:divBdr>
        <w:top w:val="none" w:sz="0" w:space="0" w:color="auto"/>
        <w:left w:val="none" w:sz="0" w:space="0" w:color="auto"/>
        <w:bottom w:val="none" w:sz="0" w:space="0" w:color="auto"/>
        <w:right w:val="none" w:sz="0" w:space="0" w:color="auto"/>
      </w:divBdr>
    </w:div>
    <w:div w:id="288972951">
      <w:bodyDiv w:val="1"/>
      <w:marLeft w:val="0"/>
      <w:marRight w:val="0"/>
      <w:marTop w:val="0"/>
      <w:marBottom w:val="0"/>
      <w:divBdr>
        <w:top w:val="none" w:sz="0" w:space="0" w:color="auto"/>
        <w:left w:val="none" w:sz="0" w:space="0" w:color="auto"/>
        <w:bottom w:val="none" w:sz="0" w:space="0" w:color="auto"/>
        <w:right w:val="none" w:sz="0" w:space="0" w:color="auto"/>
      </w:divBdr>
    </w:div>
    <w:div w:id="338585738">
      <w:bodyDiv w:val="1"/>
      <w:marLeft w:val="0"/>
      <w:marRight w:val="0"/>
      <w:marTop w:val="0"/>
      <w:marBottom w:val="0"/>
      <w:divBdr>
        <w:top w:val="none" w:sz="0" w:space="0" w:color="auto"/>
        <w:left w:val="none" w:sz="0" w:space="0" w:color="auto"/>
        <w:bottom w:val="none" w:sz="0" w:space="0" w:color="auto"/>
        <w:right w:val="none" w:sz="0" w:space="0" w:color="auto"/>
      </w:divBdr>
    </w:div>
    <w:div w:id="363793674">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35441368">
      <w:bodyDiv w:val="1"/>
      <w:marLeft w:val="0"/>
      <w:marRight w:val="0"/>
      <w:marTop w:val="0"/>
      <w:marBottom w:val="0"/>
      <w:divBdr>
        <w:top w:val="none" w:sz="0" w:space="0" w:color="auto"/>
        <w:left w:val="none" w:sz="0" w:space="0" w:color="auto"/>
        <w:bottom w:val="none" w:sz="0" w:space="0" w:color="auto"/>
        <w:right w:val="none" w:sz="0" w:space="0" w:color="auto"/>
      </w:divBdr>
    </w:div>
    <w:div w:id="444741109">
      <w:bodyDiv w:val="1"/>
      <w:marLeft w:val="0"/>
      <w:marRight w:val="0"/>
      <w:marTop w:val="0"/>
      <w:marBottom w:val="0"/>
      <w:divBdr>
        <w:top w:val="none" w:sz="0" w:space="0" w:color="auto"/>
        <w:left w:val="none" w:sz="0" w:space="0" w:color="auto"/>
        <w:bottom w:val="none" w:sz="0" w:space="0" w:color="auto"/>
        <w:right w:val="none" w:sz="0" w:space="0" w:color="auto"/>
      </w:divBdr>
    </w:div>
    <w:div w:id="450635533">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538393683">
      <w:bodyDiv w:val="1"/>
      <w:marLeft w:val="0"/>
      <w:marRight w:val="0"/>
      <w:marTop w:val="0"/>
      <w:marBottom w:val="0"/>
      <w:divBdr>
        <w:top w:val="none" w:sz="0" w:space="0" w:color="auto"/>
        <w:left w:val="none" w:sz="0" w:space="0" w:color="auto"/>
        <w:bottom w:val="none" w:sz="0" w:space="0" w:color="auto"/>
        <w:right w:val="none" w:sz="0" w:space="0" w:color="auto"/>
      </w:divBdr>
    </w:div>
    <w:div w:id="550265135">
      <w:bodyDiv w:val="1"/>
      <w:marLeft w:val="0"/>
      <w:marRight w:val="0"/>
      <w:marTop w:val="0"/>
      <w:marBottom w:val="0"/>
      <w:divBdr>
        <w:top w:val="none" w:sz="0" w:space="0" w:color="auto"/>
        <w:left w:val="none" w:sz="0" w:space="0" w:color="auto"/>
        <w:bottom w:val="none" w:sz="0" w:space="0" w:color="auto"/>
        <w:right w:val="none" w:sz="0" w:space="0" w:color="auto"/>
      </w:divBdr>
    </w:div>
    <w:div w:id="580258273">
      <w:bodyDiv w:val="1"/>
      <w:marLeft w:val="0"/>
      <w:marRight w:val="0"/>
      <w:marTop w:val="0"/>
      <w:marBottom w:val="0"/>
      <w:divBdr>
        <w:top w:val="none" w:sz="0" w:space="0" w:color="auto"/>
        <w:left w:val="none" w:sz="0" w:space="0" w:color="auto"/>
        <w:bottom w:val="none" w:sz="0" w:space="0" w:color="auto"/>
        <w:right w:val="none" w:sz="0" w:space="0" w:color="auto"/>
      </w:divBdr>
    </w:div>
    <w:div w:id="598829225">
      <w:bodyDiv w:val="1"/>
      <w:marLeft w:val="0"/>
      <w:marRight w:val="0"/>
      <w:marTop w:val="0"/>
      <w:marBottom w:val="0"/>
      <w:divBdr>
        <w:top w:val="none" w:sz="0" w:space="0" w:color="auto"/>
        <w:left w:val="none" w:sz="0" w:space="0" w:color="auto"/>
        <w:bottom w:val="none" w:sz="0" w:space="0" w:color="auto"/>
        <w:right w:val="none" w:sz="0" w:space="0" w:color="auto"/>
      </w:divBdr>
    </w:div>
    <w:div w:id="648361558">
      <w:bodyDiv w:val="1"/>
      <w:marLeft w:val="0"/>
      <w:marRight w:val="0"/>
      <w:marTop w:val="0"/>
      <w:marBottom w:val="0"/>
      <w:divBdr>
        <w:top w:val="none" w:sz="0" w:space="0" w:color="auto"/>
        <w:left w:val="none" w:sz="0" w:space="0" w:color="auto"/>
        <w:bottom w:val="none" w:sz="0" w:space="0" w:color="auto"/>
        <w:right w:val="none" w:sz="0" w:space="0" w:color="auto"/>
      </w:divBdr>
    </w:div>
    <w:div w:id="682973573">
      <w:bodyDiv w:val="1"/>
      <w:marLeft w:val="0"/>
      <w:marRight w:val="0"/>
      <w:marTop w:val="0"/>
      <w:marBottom w:val="0"/>
      <w:divBdr>
        <w:top w:val="none" w:sz="0" w:space="0" w:color="auto"/>
        <w:left w:val="none" w:sz="0" w:space="0" w:color="auto"/>
        <w:bottom w:val="none" w:sz="0" w:space="0" w:color="auto"/>
        <w:right w:val="none" w:sz="0" w:space="0" w:color="auto"/>
      </w:divBdr>
    </w:div>
    <w:div w:id="685866194">
      <w:bodyDiv w:val="1"/>
      <w:marLeft w:val="0"/>
      <w:marRight w:val="0"/>
      <w:marTop w:val="0"/>
      <w:marBottom w:val="0"/>
      <w:divBdr>
        <w:top w:val="none" w:sz="0" w:space="0" w:color="auto"/>
        <w:left w:val="none" w:sz="0" w:space="0" w:color="auto"/>
        <w:bottom w:val="none" w:sz="0" w:space="0" w:color="auto"/>
        <w:right w:val="none" w:sz="0" w:space="0" w:color="auto"/>
      </w:divBdr>
    </w:div>
    <w:div w:id="761605912">
      <w:bodyDiv w:val="1"/>
      <w:marLeft w:val="0"/>
      <w:marRight w:val="0"/>
      <w:marTop w:val="0"/>
      <w:marBottom w:val="0"/>
      <w:divBdr>
        <w:top w:val="none" w:sz="0" w:space="0" w:color="auto"/>
        <w:left w:val="none" w:sz="0" w:space="0" w:color="auto"/>
        <w:bottom w:val="none" w:sz="0" w:space="0" w:color="auto"/>
        <w:right w:val="none" w:sz="0" w:space="0" w:color="auto"/>
      </w:divBdr>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03887404">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827283482">
      <w:bodyDiv w:val="1"/>
      <w:marLeft w:val="0"/>
      <w:marRight w:val="0"/>
      <w:marTop w:val="0"/>
      <w:marBottom w:val="0"/>
      <w:divBdr>
        <w:top w:val="none" w:sz="0" w:space="0" w:color="auto"/>
        <w:left w:val="none" w:sz="0" w:space="0" w:color="auto"/>
        <w:bottom w:val="none" w:sz="0" w:space="0" w:color="auto"/>
        <w:right w:val="none" w:sz="0" w:space="0" w:color="auto"/>
      </w:divBdr>
    </w:div>
    <w:div w:id="834686474">
      <w:bodyDiv w:val="1"/>
      <w:marLeft w:val="0"/>
      <w:marRight w:val="0"/>
      <w:marTop w:val="0"/>
      <w:marBottom w:val="0"/>
      <w:divBdr>
        <w:top w:val="none" w:sz="0" w:space="0" w:color="auto"/>
        <w:left w:val="none" w:sz="0" w:space="0" w:color="auto"/>
        <w:bottom w:val="none" w:sz="0" w:space="0" w:color="auto"/>
        <w:right w:val="none" w:sz="0" w:space="0" w:color="auto"/>
      </w:divBdr>
    </w:div>
    <w:div w:id="850920449">
      <w:bodyDiv w:val="1"/>
      <w:marLeft w:val="0"/>
      <w:marRight w:val="0"/>
      <w:marTop w:val="0"/>
      <w:marBottom w:val="0"/>
      <w:divBdr>
        <w:top w:val="none" w:sz="0" w:space="0" w:color="auto"/>
        <w:left w:val="none" w:sz="0" w:space="0" w:color="auto"/>
        <w:bottom w:val="none" w:sz="0" w:space="0" w:color="auto"/>
        <w:right w:val="none" w:sz="0" w:space="0" w:color="auto"/>
      </w:divBdr>
    </w:div>
    <w:div w:id="886138618">
      <w:bodyDiv w:val="1"/>
      <w:marLeft w:val="0"/>
      <w:marRight w:val="0"/>
      <w:marTop w:val="0"/>
      <w:marBottom w:val="0"/>
      <w:divBdr>
        <w:top w:val="none" w:sz="0" w:space="0" w:color="auto"/>
        <w:left w:val="none" w:sz="0" w:space="0" w:color="auto"/>
        <w:bottom w:val="none" w:sz="0" w:space="0" w:color="auto"/>
        <w:right w:val="none" w:sz="0" w:space="0" w:color="auto"/>
      </w:divBdr>
    </w:div>
    <w:div w:id="984620947">
      <w:bodyDiv w:val="1"/>
      <w:marLeft w:val="0"/>
      <w:marRight w:val="0"/>
      <w:marTop w:val="0"/>
      <w:marBottom w:val="0"/>
      <w:divBdr>
        <w:top w:val="none" w:sz="0" w:space="0" w:color="auto"/>
        <w:left w:val="none" w:sz="0" w:space="0" w:color="auto"/>
        <w:bottom w:val="none" w:sz="0" w:space="0" w:color="auto"/>
        <w:right w:val="none" w:sz="0" w:space="0" w:color="auto"/>
      </w:divBdr>
    </w:div>
    <w:div w:id="994333802">
      <w:bodyDiv w:val="1"/>
      <w:marLeft w:val="0"/>
      <w:marRight w:val="0"/>
      <w:marTop w:val="0"/>
      <w:marBottom w:val="0"/>
      <w:divBdr>
        <w:top w:val="none" w:sz="0" w:space="0" w:color="auto"/>
        <w:left w:val="none" w:sz="0" w:space="0" w:color="auto"/>
        <w:bottom w:val="none" w:sz="0" w:space="0" w:color="auto"/>
        <w:right w:val="none" w:sz="0" w:space="0" w:color="auto"/>
      </w:divBdr>
    </w:div>
    <w:div w:id="994992293">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15808131">
      <w:bodyDiv w:val="1"/>
      <w:marLeft w:val="0"/>
      <w:marRight w:val="0"/>
      <w:marTop w:val="0"/>
      <w:marBottom w:val="0"/>
      <w:divBdr>
        <w:top w:val="none" w:sz="0" w:space="0" w:color="auto"/>
        <w:left w:val="none" w:sz="0" w:space="0" w:color="auto"/>
        <w:bottom w:val="none" w:sz="0" w:space="0" w:color="auto"/>
        <w:right w:val="none" w:sz="0" w:space="0" w:color="auto"/>
      </w:divBdr>
    </w:div>
    <w:div w:id="1026252976">
      <w:bodyDiv w:val="1"/>
      <w:marLeft w:val="0"/>
      <w:marRight w:val="0"/>
      <w:marTop w:val="0"/>
      <w:marBottom w:val="0"/>
      <w:divBdr>
        <w:top w:val="none" w:sz="0" w:space="0" w:color="auto"/>
        <w:left w:val="none" w:sz="0" w:space="0" w:color="auto"/>
        <w:bottom w:val="none" w:sz="0" w:space="0" w:color="auto"/>
        <w:right w:val="none" w:sz="0" w:space="0" w:color="auto"/>
      </w:divBdr>
    </w:div>
    <w:div w:id="1031220199">
      <w:bodyDiv w:val="1"/>
      <w:marLeft w:val="0"/>
      <w:marRight w:val="0"/>
      <w:marTop w:val="0"/>
      <w:marBottom w:val="0"/>
      <w:divBdr>
        <w:top w:val="none" w:sz="0" w:space="0" w:color="auto"/>
        <w:left w:val="none" w:sz="0" w:space="0" w:color="auto"/>
        <w:bottom w:val="none" w:sz="0" w:space="0" w:color="auto"/>
        <w:right w:val="none" w:sz="0" w:space="0" w:color="auto"/>
      </w:divBdr>
    </w:div>
    <w:div w:id="1033262282">
      <w:bodyDiv w:val="1"/>
      <w:marLeft w:val="0"/>
      <w:marRight w:val="0"/>
      <w:marTop w:val="0"/>
      <w:marBottom w:val="0"/>
      <w:divBdr>
        <w:top w:val="none" w:sz="0" w:space="0" w:color="auto"/>
        <w:left w:val="none" w:sz="0" w:space="0" w:color="auto"/>
        <w:bottom w:val="none" w:sz="0" w:space="0" w:color="auto"/>
        <w:right w:val="none" w:sz="0" w:space="0" w:color="auto"/>
      </w:divBdr>
    </w:div>
    <w:div w:id="1071006520">
      <w:bodyDiv w:val="1"/>
      <w:marLeft w:val="0"/>
      <w:marRight w:val="0"/>
      <w:marTop w:val="0"/>
      <w:marBottom w:val="0"/>
      <w:divBdr>
        <w:top w:val="none" w:sz="0" w:space="0" w:color="auto"/>
        <w:left w:val="none" w:sz="0" w:space="0" w:color="auto"/>
        <w:bottom w:val="none" w:sz="0" w:space="0" w:color="auto"/>
        <w:right w:val="none" w:sz="0" w:space="0" w:color="auto"/>
      </w:divBdr>
    </w:div>
    <w:div w:id="1104813104">
      <w:bodyDiv w:val="1"/>
      <w:marLeft w:val="0"/>
      <w:marRight w:val="0"/>
      <w:marTop w:val="0"/>
      <w:marBottom w:val="0"/>
      <w:divBdr>
        <w:top w:val="none" w:sz="0" w:space="0" w:color="auto"/>
        <w:left w:val="none" w:sz="0" w:space="0" w:color="auto"/>
        <w:bottom w:val="none" w:sz="0" w:space="0" w:color="auto"/>
        <w:right w:val="none" w:sz="0" w:space="0" w:color="auto"/>
      </w:divBdr>
    </w:div>
    <w:div w:id="1107506059">
      <w:bodyDiv w:val="1"/>
      <w:marLeft w:val="0"/>
      <w:marRight w:val="0"/>
      <w:marTop w:val="0"/>
      <w:marBottom w:val="0"/>
      <w:divBdr>
        <w:top w:val="none" w:sz="0" w:space="0" w:color="auto"/>
        <w:left w:val="none" w:sz="0" w:space="0" w:color="auto"/>
        <w:bottom w:val="none" w:sz="0" w:space="0" w:color="auto"/>
        <w:right w:val="none" w:sz="0" w:space="0" w:color="auto"/>
      </w:divBdr>
    </w:div>
    <w:div w:id="1165321008">
      <w:bodyDiv w:val="1"/>
      <w:marLeft w:val="0"/>
      <w:marRight w:val="0"/>
      <w:marTop w:val="0"/>
      <w:marBottom w:val="0"/>
      <w:divBdr>
        <w:top w:val="none" w:sz="0" w:space="0" w:color="auto"/>
        <w:left w:val="none" w:sz="0" w:space="0" w:color="auto"/>
        <w:bottom w:val="none" w:sz="0" w:space="0" w:color="auto"/>
        <w:right w:val="none" w:sz="0" w:space="0" w:color="auto"/>
      </w:divBdr>
    </w:div>
    <w:div w:id="1180313185">
      <w:bodyDiv w:val="1"/>
      <w:marLeft w:val="0"/>
      <w:marRight w:val="0"/>
      <w:marTop w:val="0"/>
      <w:marBottom w:val="0"/>
      <w:divBdr>
        <w:top w:val="none" w:sz="0" w:space="0" w:color="auto"/>
        <w:left w:val="none" w:sz="0" w:space="0" w:color="auto"/>
        <w:bottom w:val="none" w:sz="0" w:space="0" w:color="auto"/>
        <w:right w:val="none" w:sz="0" w:space="0" w:color="auto"/>
      </w:divBdr>
    </w:div>
    <w:div w:id="1203666846">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315137705">
      <w:bodyDiv w:val="1"/>
      <w:marLeft w:val="0"/>
      <w:marRight w:val="0"/>
      <w:marTop w:val="0"/>
      <w:marBottom w:val="0"/>
      <w:divBdr>
        <w:top w:val="none" w:sz="0" w:space="0" w:color="auto"/>
        <w:left w:val="none" w:sz="0" w:space="0" w:color="auto"/>
        <w:bottom w:val="none" w:sz="0" w:space="0" w:color="auto"/>
        <w:right w:val="none" w:sz="0" w:space="0" w:color="auto"/>
      </w:divBdr>
    </w:div>
    <w:div w:id="1407142045">
      <w:bodyDiv w:val="1"/>
      <w:marLeft w:val="0"/>
      <w:marRight w:val="0"/>
      <w:marTop w:val="0"/>
      <w:marBottom w:val="0"/>
      <w:divBdr>
        <w:top w:val="none" w:sz="0" w:space="0" w:color="auto"/>
        <w:left w:val="none" w:sz="0" w:space="0" w:color="auto"/>
        <w:bottom w:val="none" w:sz="0" w:space="0" w:color="auto"/>
        <w:right w:val="none" w:sz="0" w:space="0" w:color="auto"/>
      </w:divBdr>
    </w:div>
    <w:div w:id="1427386990">
      <w:bodyDiv w:val="1"/>
      <w:marLeft w:val="0"/>
      <w:marRight w:val="0"/>
      <w:marTop w:val="0"/>
      <w:marBottom w:val="0"/>
      <w:divBdr>
        <w:top w:val="none" w:sz="0" w:space="0" w:color="auto"/>
        <w:left w:val="none" w:sz="0" w:space="0" w:color="auto"/>
        <w:bottom w:val="none" w:sz="0" w:space="0" w:color="auto"/>
        <w:right w:val="none" w:sz="0" w:space="0" w:color="auto"/>
      </w:divBdr>
    </w:div>
    <w:div w:id="1443919855">
      <w:bodyDiv w:val="1"/>
      <w:marLeft w:val="0"/>
      <w:marRight w:val="0"/>
      <w:marTop w:val="0"/>
      <w:marBottom w:val="0"/>
      <w:divBdr>
        <w:top w:val="none" w:sz="0" w:space="0" w:color="auto"/>
        <w:left w:val="none" w:sz="0" w:space="0" w:color="auto"/>
        <w:bottom w:val="none" w:sz="0" w:space="0" w:color="auto"/>
        <w:right w:val="none" w:sz="0" w:space="0" w:color="auto"/>
      </w:divBdr>
    </w:div>
    <w:div w:id="1486312735">
      <w:bodyDiv w:val="1"/>
      <w:marLeft w:val="0"/>
      <w:marRight w:val="0"/>
      <w:marTop w:val="0"/>
      <w:marBottom w:val="0"/>
      <w:divBdr>
        <w:top w:val="none" w:sz="0" w:space="0" w:color="auto"/>
        <w:left w:val="none" w:sz="0" w:space="0" w:color="auto"/>
        <w:bottom w:val="none" w:sz="0" w:space="0" w:color="auto"/>
        <w:right w:val="none" w:sz="0" w:space="0" w:color="auto"/>
      </w:divBdr>
    </w:div>
    <w:div w:id="1521776668">
      <w:bodyDiv w:val="1"/>
      <w:marLeft w:val="0"/>
      <w:marRight w:val="0"/>
      <w:marTop w:val="0"/>
      <w:marBottom w:val="0"/>
      <w:divBdr>
        <w:top w:val="none" w:sz="0" w:space="0" w:color="auto"/>
        <w:left w:val="none" w:sz="0" w:space="0" w:color="auto"/>
        <w:bottom w:val="none" w:sz="0" w:space="0" w:color="auto"/>
        <w:right w:val="none" w:sz="0" w:space="0" w:color="auto"/>
      </w:divBdr>
    </w:div>
    <w:div w:id="1543713519">
      <w:bodyDiv w:val="1"/>
      <w:marLeft w:val="0"/>
      <w:marRight w:val="0"/>
      <w:marTop w:val="0"/>
      <w:marBottom w:val="0"/>
      <w:divBdr>
        <w:top w:val="none" w:sz="0" w:space="0" w:color="auto"/>
        <w:left w:val="none" w:sz="0" w:space="0" w:color="auto"/>
        <w:bottom w:val="none" w:sz="0" w:space="0" w:color="auto"/>
        <w:right w:val="none" w:sz="0" w:space="0" w:color="auto"/>
      </w:divBdr>
    </w:div>
    <w:div w:id="1588228702">
      <w:bodyDiv w:val="1"/>
      <w:marLeft w:val="0"/>
      <w:marRight w:val="0"/>
      <w:marTop w:val="0"/>
      <w:marBottom w:val="0"/>
      <w:divBdr>
        <w:top w:val="none" w:sz="0" w:space="0" w:color="auto"/>
        <w:left w:val="none" w:sz="0" w:space="0" w:color="auto"/>
        <w:bottom w:val="none" w:sz="0" w:space="0" w:color="auto"/>
        <w:right w:val="none" w:sz="0" w:space="0" w:color="auto"/>
      </w:divBdr>
    </w:div>
    <w:div w:id="1643659720">
      <w:bodyDiv w:val="1"/>
      <w:marLeft w:val="0"/>
      <w:marRight w:val="0"/>
      <w:marTop w:val="0"/>
      <w:marBottom w:val="0"/>
      <w:divBdr>
        <w:top w:val="none" w:sz="0" w:space="0" w:color="auto"/>
        <w:left w:val="none" w:sz="0" w:space="0" w:color="auto"/>
        <w:bottom w:val="none" w:sz="0" w:space="0" w:color="auto"/>
        <w:right w:val="none" w:sz="0" w:space="0" w:color="auto"/>
      </w:divBdr>
    </w:div>
    <w:div w:id="1646349298">
      <w:bodyDiv w:val="1"/>
      <w:marLeft w:val="0"/>
      <w:marRight w:val="0"/>
      <w:marTop w:val="0"/>
      <w:marBottom w:val="0"/>
      <w:divBdr>
        <w:top w:val="none" w:sz="0" w:space="0" w:color="auto"/>
        <w:left w:val="none" w:sz="0" w:space="0" w:color="auto"/>
        <w:bottom w:val="none" w:sz="0" w:space="0" w:color="auto"/>
        <w:right w:val="none" w:sz="0" w:space="0" w:color="auto"/>
      </w:divBdr>
    </w:div>
    <w:div w:id="1667052161">
      <w:bodyDiv w:val="1"/>
      <w:marLeft w:val="0"/>
      <w:marRight w:val="0"/>
      <w:marTop w:val="0"/>
      <w:marBottom w:val="0"/>
      <w:divBdr>
        <w:top w:val="none" w:sz="0" w:space="0" w:color="auto"/>
        <w:left w:val="none" w:sz="0" w:space="0" w:color="auto"/>
        <w:bottom w:val="none" w:sz="0" w:space="0" w:color="auto"/>
        <w:right w:val="none" w:sz="0" w:space="0" w:color="auto"/>
      </w:divBdr>
    </w:div>
    <w:div w:id="1675646674">
      <w:bodyDiv w:val="1"/>
      <w:marLeft w:val="0"/>
      <w:marRight w:val="0"/>
      <w:marTop w:val="0"/>
      <w:marBottom w:val="0"/>
      <w:divBdr>
        <w:top w:val="none" w:sz="0" w:space="0" w:color="auto"/>
        <w:left w:val="none" w:sz="0" w:space="0" w:color="auto"/>
        <w:bottom w:val="none" w:sz="0" w:space="0" w:color="auto"/>
        <w:right w:val="none" w:sz="0" w:space="0" w:color="auto"/>
      </w:divBdr>
    </w:div>
    <w:div w:id="1692146565">
      <w:bodyDiv w:val="1"/>
      <w:marLeft w:val="0"/>
      <w:marRight w:val="0"/>
      <w:marTop w:val="0"/>
      <w:marBottom w:val="0"/>
      <w:divBdr>
        <w:top w:val="none" w:sz="0" w:space="0" w:color="auto"/>
        <w:left w:val="none" w:sz="0" w:space="0" w:color="auto"/>
        <w:bottom w:val="none" w:sz="0" w:space="0" w:color="auto"/>
        <w:right w:val="none" w:sz="0" w:space="0" w:color="auto"/>
      </w:divBdr>
    </w:div>
    <w:div w:id="1712723106">
      <w:bodyDiv w:val="1"/>
      <w:marLeft w:val="0"/>
      <w:marRight w:val="0"/>
      <w:marTop w:val="0"/>
      <w:marBottom w:val="0"/>
      <w:divBdr>
        <w:top w:val="none" w:sz="0" w:space="0" w:color="auto"/>
        <w:left w:val="none" w:sz="0" w:space="0" w:color="auto"/>
        <w:bottom w:val="none" w:sz="0" w:space="0" w:color="auto"/>
        <w:right w:val="none" w:sz="0" w:space="0" w:color="auto"/>
      </w:divBdr>
    </w:div>
    <w:div w:id="1762264118">
      <w:bodyDiv w:val="1"/>
      <w:marLeft w:val="0"/>
      <w:marRight w:val="0"/>
      <w:marTop w:val="0"/>
      <w:marBottom w:val="0"/>
      <w:divBdr>
        <w:top w:val="none" w:sz="0" w:space="0" w:color="auto"/>
        <w:left w:val="none" w:sz="0" w:space="0" w:color="auto"/>
        <w:bottom w:val="none" w:sz="0" w:space="0" w:color="auto"/>
        <w:right w:val="none" w:sz="0" w:space="0" w:color="auto"/>
      </w:divBdr>
    </w:div>
    <w:div w:id="1762333722">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913851630">
      <w:bodyDiv w:val="1"/>
      <w:marLeft w:val="0"/>
      <w:marRight w:val="0"/>
      <w:marTop w:val="0"/>
      <w:marBottom w:val="0"/>
      <w:divBdr>
        <w:top w:val="none" w:sz="0" w:space="0" w:color="auto"/>
        <w:left w:val="none" w:sz="0" w:space="0" w:color="auto"/>
        <w:bottom w:val="none" w:sz="0" w:space="0" w:color="auto"/>
        <w:right w:val="none" w:sz="0" w:space="0" w:color="auto"/>
      </w:divBdr>
    </w:div>
    <w:div w:id="2003195023">
      <w:bodyDiv w:val="1"/>
      <w:marLeft w:val="0"/>
      <w:marRight w:val="0"/>
      <w:marTop w:val="0"/>
      <w:marBottom w:val="0"/>
      <w:divBdr>
        <w:top w:val="none" w:sz="0" w:space="0" w:color="auto"/>
        <w:left w:val="none" w:sz="0" w:space="0" w:color="auto"/>
        <w:bottom w:val="none" w:sz="0" w:space="0" w:color="auto"/>
        <w:right w:val="none" w:sz="0" w:space="0" w:color="auto"/>
      </w:divBdr>
    </w:div>
    <w:div w:id="2006130735">
      <w:bodyDiv w:val="1"/>
      <w:marLeft w:val="0"/>
      <w:marRight w:val="0"/>
      <w:marTop w:val="0"/>
      <w:marBottom w:val="0"/>
      <w:divBdr>
        <w:top w:val="none" w:sz="0" w:space="0" w:color="auto"/>
        <w:left w:val="none" w:sz="0" w:space="0" w:color="auto"/>
        <w:bottom w:val="none" w:sz="0" w:space="0" w:color="auto"/>
        <w:right w:val="none" w:sz="0" w:space="0" w:color="auto"/>
      </w:divBdr>
    </w:div>
    <w:div w:id="2016759958">
      <w:bodyDiv w:val="1"/>
      <w:marLeft w:val="0"/>
      <w:marRight w:val="0"/>
      <w:marTop w:val="0"/>
      <w:marBottom w:val="0"/>
      <w:divBdr>
        <w:top w:val="none" w:sz="0" w:space="0" w:color="auto"/>
        <w:left w:val="none" w:sz="0" w:space="0" w:color="auto"/>
        <w:bottom w:val="none" w:sz="0" w:space="0" w:color="auto"/>
        <w:right w:val="none" w:sz="0" w:space="0" w:color="auto"/>
      </w:divBdr>
    </w:div>
    <w:div w:id="2024239257">
      <w:bodyDiv w:val="1"/>
      <w:marLeft w:val="0"/>
      <w:marRight w:val="0"/>
      <w:marTop w:val="0"/>
      <w:marBottom w:val="0"/>
      <w:divBdr>
        <w:top w:val="none" w:sz="0" w:space="0" w:color="auto"/>
        <w:left w:val="none" w:sz="0" w:space="0" w:color="auto"/>
        <w:bottom w:val="none" w:sz="0" w:space="0" w:color="auto"/>
        <w:right w:val="none" w:sz="0" w:space="0" w:color="auto"/>
      </w:divBdr>
    </w:div>
    <w:div w:id="2047293311">
      <w:bodyDiv w:val="1"/>
      <w:marLeft w:val="0"/>
      <w:marRight w:val="0"/>
      <w:marTop w:val="0"/>
      <w:marBottom w:val="0"/>
      <w:divBdr>
        <w:top w:val="none" w:sz="0" w:space="0" w:color="auto"/>
        <w:left w:val="none" w:sz="0" w:space="0" w:color="auto"/>
        <w:bottom w:val="none" w:sz="0" w:space="0" w:color="auto"/>
        <w:right w:val="none" w:sz="0" w:space="0" w:color="auto"/>
      </w:divBdr>
    </w:div>
    <w:div w:id="2114861583">
      <w:bodyDiv w:val="1"/>
      <w:marLeft w:val="0"/>
      <w:marRight w:val="0"/>
      <w:marTop w:val="0"/>
      <w:marBottom w:val="0"/>
      <w:divBdr>
        <w:top w:val="none" w:sz="0" w:space="0" w:color="auto"/>
        <w:left w:val="none" w:sz="0" w:space="0" w:color="auto"/>
        <w:bottom w:val="none" w:sz="0" w:space="0" w:color="auto"/>
        <w:right w:val="none" w:sz="0" w:space="0" w:color="auto"/>
      </w:divBdr>
    </w:div>
    <w:div w:id="21448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BB21D-56E8-4410-B68C-D0BF3953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9</Pages>
  <Words>1611</Words>
  <Characters>8863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mrobalino</cp:lastModifiedBy>
  <cp:revision>136</cp:revision>
  <cp:lastPrinted>2015-11-13T17:57:00Z</cp:lastPrinted>
  <dcterms:created xsi:type="dcterms:W3CDTF">2015-11-15T10:18:00Z</dcterms:created>
  <dcterms:modified xsi:type="dcterms:W3CDTF">2015-12-01T20:46:00Z</dcterms:modified>
</cp:coreProperties>
</file>